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4296E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甘州区住宅小区物业服务</w:t>
      </w:r>
      <w:r>
        <w:rPr>
          <w:rFonts w:hint="eastAsia" w:ascii="方正小标宋简体" w:hAnsi="方正小标宋简体" w:eastAsia="方正小标宋简体" w:cs="方正小标宋简体"/>
          <w:sz w:val="44"/>
          <w:szCs w:val="44"/>
          <w:lang w:val="en-US" w:eastAsia="zh-CN"/>
        </w:rPr>
        <w:t>投诉</w:t>
      </w:r>
      <w:r>
        <w:rPr>
          <w:rFonts w:hint="eastAsia" w:ascii="方正小标宋简体" w:hAnsi="方正小标宋简体" w:eastAsia="方正小标宋简体" w:cs="方正小标宋简体"/>
          <w:sz w:val="44"/>
          <w:szCs w:val="44"/>
          <w:lang w:eastAsia="zh-CN"/>
        </w:rPr>
        <w:t>问题</w:t>
      </w:r>
    </w:p>
    <w:p w14:paraId="7BE25A6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sz w:val="32"/>
          <w:szCs w:val="32"/>
          <w:lang w:eastAsia="zh-CN"/>
        </w:rPr>
      </w:pPr>
      <w:r>
        <w:rPr>
          <w:rFonts w:hint="eastAsia" w:ascii="方正小标宋简体" w:hAnsi="方正小标宋简体" w:eastAsia="方正小标宋简体" w:cs="方正小标宋简体"/>
          <w:sz w:val="44"/>
          <w:szCs w:val="44"/>
        </w:rPr>
        <w:t>响应处置</w:t>
      </w:r>
      <w:r>
        <w:rPr>
          <w:rFonts w:hint="eastAsia" w:ascii="方正小标宋简体" w:hAnsi="方正小标宋简体" w:eastAsia="方正小标宋简体" w:cs="方正小标宋简体"/>
          <w:sz w:val="44"/>
          <w:szCs w:val="44"/>
          <w:lang w:eastAsia="zh-CN"/>
        </w:rPr>
        <w:t>机制</w:t>
      </w:r>
    </w:p>
    <w:p w14:paraId="5BFDD2B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征求意见稿</w:t>
      </w:r>
      <w:r>
        <w:rPr>
          <w:rFonts w:hint="eastAsia" w:ascii="楷体_GB2312" w:hAnsi="楷体_GB2312" w:eastAsia="楷体_GB2312" w:cs="楷体_GB2312"/>
          <w:sz w:val="32"/>
          <w:szCs w:val="32"/>
          <w:lang w:eastAsia="zh-CN"/>
        </w:rPr>
        <w:t>）</w:t>
      </w:r>
    </w:p>
    <w:p w14:paraId="48414952">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楷体_GB2312" w:hAnsi="楷体_GB2312" w:eastAsia="楷体_GB2312" w:cs="楷体_GB2312"/>
          <w:b/>
          <w:bCs/>
          <w:sz w:val="32"/>
          <w:szCs w:val="32"/>
          <w:lang w:val="en-US" w:eastAsia="zh-CN"/>
        </w:rPr>
      </w:pPr>
    </w:p>
    <w:p w14:paraId="6537573B">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第一条 制定目的</w:t>
      </w:r>
    </w:p>
    <w:p w14:paraId="041116F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全面压实物业服务企业信访投诉受理处置主体责任，健全住宅小区物业服务投诉前端化解、分级处置、闭环管理、全程监督工作体系，规范投诉受理、核查、整改、回访、上报、归档全流程工作，依据《中华人民共和国民法典》《物业管理条例》等法律法规，结合工作实际，制定本机制。</w:t>
      </w:r>
    </w:p>
    <w:p w14:paraId="499B5D85">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第二条 适用范围</w:t>
      </w:r>
    </w:p>
    <w:p w14:paraId="3A39618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本机制适用于甘州区辖区内所有已交付使用的已选聘物业服务企业的住宅小区。</w:t>
      </w:r>
    </w:p>
    <w:p w14:paraId="5A372C2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本机制覆盖全部物业服务投诉来源包括：12345政务便民热线、各级信访平台、上级单位转办交办件、主管部门及街道交办事项、业主现场投诉、业委会（物管会）移交问题、物业日常巡查发现问题等。</w:t>
      </w:r>
    </w:p>
    <w:p w14:paraId="4661930E">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第三条 工作原则</w:t>
      </w:r>
    </w:p>
    <w:p w14:paraId="094C883E">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1.企业主责，闭环兜底。</w:t>
      </w:r>
      <w:r>
        <w:rPr>
          <w:rFonts w:hint="eastAsia" w:ascii="仿宋_GB2312" w:hAnsi="仿宋_GB2312" w:eastAsia="仿宋_GB2312" w:cs="仿宋_GB2312"/>
          <w:sz w:val="32"/>
          <w:szCs w:val="32"/>
          <w:lang w:val="en-US" w:eastAsia="zh-CN"/>
        </w:rPr>
        <w:t>物业服务企业是</w:t>
      </w:r>
      <w:r>
        <w:rPr>
          <w:rFonts w:hint="eastAsia" w:ascii="仿宋_GB2312" w:hAnsi="仿宋_GB2312" w:eastAsia="仿宋_GB2312" w:cs="仿宋_GB2312"/>
          <w:sz w:val="30"/>
          <w:szCs w:val="30"/>
          <w:lang w:val="en-US" w:eastAsia="zh-CN"/>
        </w:rPr>
        <w:t>投诉处置、矛盾化解的第一责任主体</w:t>
      </w:r>
      <w:r>
        <w:rPr>
          <w:rFonts w:hint="eastAsia" w:ascii="仿宋_GB2312" w:hAnsi="仿宋_GB2312" w:eastAsia="仿宋_GB2312" w:cs="仿宋_GB2312"/>
          <w:sz w:val="32"/>
          <w:szCs w:val="32"/>
          <w:lang w:val="en-US" w:eastAsia="zh-CN"/>
        </w:rPr>
        <w:t>，对投诉事项实行首接首办、全程负责、闭环整改，严禁推诿扯皮、矛盾直接上交。</w:t>
      </w:r>
    </w:p>
    <w:p w14:paraId="27C2E9C1">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2.分级管控，应急优先。</w:t>
      </w:r>
      <w:r>
        <w:rPr>
          <w:rFonts w:hint="eastAsia" w:ascii="仿宋_GB2312" w:hAnsi="仿宋_GB2312" w:eastAsia="仿宋_GB2312" w:cs="仿宋_GB2312"/>
          <w:sz w:val="32"/>
          <w:szCs w:val="32"/>
          <w:lang w:val="en-US" w:eastAsia="zh-CN"/>
        </w:rPr>
        <w:t>按照投诉紧急程度、处置难度划分等级，突发事件、安全隐患优先处置，严格执行限时办结要求。</w:t>
      </w:r>
    </w:p>
    <w:p w14:paraId="2B7A8EB5">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3.首问负责，全程留痕。</w:t>
      </w:r>
      <w:r>
        <w:rPr>
          <w:rFonts w:hint="eastAsia" w:ascii="仿宋_GB2312" w:hAnsi="仿宋_GB2312" w:eastAsia="仿宋_GB2312" w:cs="仿宋_GB2312"/>
          <w:sz w:val="32"/>
          <w:szCs w:val="32"/>
          <w:lang w:val="en-US" w:eastAsia="zh-CN"/>
        </w:rPr>
        <w:t>首位接诉人员全程跟进办理，所有诉求实行台账化、工单化管理，做到流程可追溯、结果可核查。</w:t>
      </w:r>
    </w:p>
    <w:p w14:paraId="4861E6C2">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4.公开透明，多方监督。</w:t>
      </w:r>
      <w:r>
        <w:rPr>
          <w:rFonts w:hint="eastAsia" w:ascii="仿宋_GB2312" w:hAnsi="仿宋_GB2312" w:eastAsia="仿宋_GB2312" w:cs="仿宋_GB2312"/>
          <w:sz w:val="32"/>
          <w:szCs w:val="32"/>
          <w:lang w:val="en-US" w:eastAsia="zh-CN"/>
        </w:rPr>
        <w:t>投诉渠道、办理流程、处置时限、处置结果、接待安排全面公示，主动接受业主、业委会（物管会）监督。</w:t>
      </w:r>
    </w:p>
    <w:p w14:paraId="693AC857">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第四条 职责划分</w:t>
      </w:r>
    </w:p>
    <w:p w14:paraId="68BA1CDA">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（一）区住建局。</w:t>
      </w:r>
      <w:r>
        <w:rPr>
          <w:rFonts w:hint="eastAsia" w:ascii="仿宋_GB2312" w:hAnsi="仿宋_GB2312" w:eastAsia="仿宋_GB2312" w:cs="仿宋_GB2312"/>
          <w:sz w:val="32"/>
          <w:szCs w:val="32"/>
          <w:lang w:val="en-US" w:eastAsia="zh-CN"/>
        </w:rPr>
        <w:t>统筹物业服务投诉问题响应机制全面落地实施；统一接收各类信访投诉并登记分流，及时转交对应物业服务企业办理；负责投诉处置结果审核、现场督导检查，实行月度工作通报；对逾期整改、履职缺位的物业企业开展评优管控及红黑榜评定；联合乡镇（街道）、社区指导业委会（物管会）依法开展监督、议事、调解等工作。</w:t>
      </w:r>
    </w:p>
    <w:p w14:paraId="09FAA0EB">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（二）乡镇（街道）、社区居委会。</w:t>
      </w:r>
      <w:r>
        <w:rPr>
          <w:rFonts w:hint="eastAsia" w:ascii="仿宋_GB2312" w:hAnsi="仿宋_GB2312" w:eastAsia="仿宋_GB2312" w:cs="仿宋_GB2312"/>
          <w:sz w:val="32"/>
          <w:szCs w:val="32"/>
          <w:lang w:val="en-US" w:eastAsia="zh-CN"/>
        </w:rPr>
        <w:t>乡镇（街道）负责辖区内物业服务投诉日常摸排、舆情监测；依托投诉处置情况开展物业项目日常考核，参与物业红黑榜初审；配合区住建局开展群体性、疑难投诉的调解与维稳工作，协助监督物业经理接待日、投诉公示制度落实；配合做好物业项目退出期间秩序维护与业主沟通工作。社区居委会就近协助受理简易投诉，监督投诉台账规范管理，列席物业经理接待日，参与邻里纠纷、物业矛盾现场调解。</w:t>
      </w:r>
    </w:p>
    <w:p w14:paraId="08293AC7">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（三）业委会、物管会。</w:t>
      </w:r>
      <w:r>
        <w:rPr>
          <w:rFonts w:hint="eastAsia" w:ascii="仿宋_GB2312" w:hAnsi="仿宋_GB2312" w:eastAsia="仿宋_GB2312" w:cs="仿宋_GB2312"/>
          <w:sz w:val="32"/>
          <w:szCs w:val="32"/>
          <w:lang w:val="en-US" w:eastAsia="zh-CN"/>
        </w:rPr>
        <w:t>收集业主诉求，分类梳理后移交物业企业录入投诉台账，跟踪整改进度并及时向业主反馈。遇群体性投诉、重大疑难问题，即时召开临时协商会议，形成整改决议并跟踪督促物业企业落地执行。</w:t>
      </w:r>
    </w:p>
    <w:p w14:paraId="69C5FA30">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（四）物业服务企业。</w:t>
      </w:r>
      <w:r>
        <w:rPr>
          <w:rFonts w:hint="eastAsia" w:ascii="仿宋_GB2312" w:hAnsi="仿宋_GB2312" w:eastAsia="仿宋_GB2312" w:cs="仿宋_GB2312"/>
          <w:sz w:val="32"/>
          <w:szCs w:val="32"/>
          <w:lang w:val="en-US" w:eastAsia="zh-CN"/>
        </w:rPr>
        <w:t>全面承办小区业主投诉、上级平台及主管部门交办的各类信访投诉，独立完成现场核查、应急处置、维修整改、业主答复全流程工作，承担</w:t>
      </w:r>
      <w:r>
        <w:rPr>
          <w:rFonts w:hint="eastAsia" w:ascii="仿宋_GB2312" w:hAnsi="仿宋_GB2312" w:eastAsia="仿宋_GB2312" w:cs="仿宋_GB2312"/>
          <w:sz w:val="30"/>
          <w:szCs w:val="30"/>
          <w:lang w:val="en-US" w:eastAsia="zh-CN"/>
        </w:rPr>
        <w:t>信访投诉、矛盾化解</w:t>
      </w:r>
      <w:r>
        <w:rPr>
          <w:rFonts w:hint="eastAsia" w:ascii="仿宋_GB2312" w:hAnsi="仿宋_GB2312" w:eastAsia="仿宋_GB2312" w:cs="仿宋_GB2312"/>
          <w:sz w:val="32"/>
          <w:szCs w:val="32"/>
          <w:lang w:val="en-US" w:eastAsia="zh-CN"/>
        </w:rPr>
        <w:t>第一责任人责任。严格落实物业经理接待日制度，现场处置简易诉求，对无法当场解决的事项纳入台账限时整改。按规定建立各类投诉管理台账，规范资料归档管理。对不属于物业服务职责范围的诉求，明确告知维权途径。严格按照统一制式模板、规定时限，完成各类信访投诉的书面材料编制与上报工作，确保上报内容真实、规范、完整。</w:t>
      </w:r>
    </w:p>
    <w:p w14:paraId="5CB8F69D">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b/>
          <w:bCs/>
          <w:sz w:val="32"/>
          <w:szCs w:val="32"/>
          <w:lang w:val="en-US" w:eastAsia="zh-CN"/>
        </w:rPr>
        <w:t>第五条 投诉分类</w:t>
      </w:r>
    </w:p>
    <w:p w14:paraId="4D165C84">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1.安全应急类：</w:t>
      </w:r>
      <w:r>
        <w:rPr>
          <w:rFonts w:hint="eastAsia" w:ascii="仿宋_GB2312" w:hAnsi="仿宋_GB2312" w:eastAsia="仿宋_GB2312" w:cs="仿宋_GB2312"/>
          <w:sz w:val="32"/>
          <w:szCs w:val="32"/>
          <w:lang w:val="en-US" w:eastAsia="zh-CN"/>
        </w:rPr>
        <w:t>电梯困人、消防设施失效、燃气泄漏、外墙脱落、高空坠物隐患、供水管网爆裂、大范围停水停电、小区积水内涝、路面塌陷、井盖缺失等直接威胁人身、财产安全的突发事件及安全隐患等。</w:t>
      </w:r>
    </w:p>
    <w:p w14:paraId="589DF068">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2.基础服务类：</w:t>
      </w:r>
      <w:r>
        <w:rPr>
          <w:rFonts w:hint="eastAsia" w:ascii="仿宋_GB2312" w:hAnsi="仿宋_GB2312" w:eastAsia="仿宋_GB2312" w:cs="仿宋_GB2312"/>
          <w:sz w:val="32"/>
          <w:szCs w:val="32"/>
          <w:lang w:val="en-US" w:eastAsia="zh-CN"/>
        </w:rPr>
        <w:t>环境卫生保洁、垃圾清运、绿化养护、门禁值守、服务态度、园区噪音扰民、公共区域杂物堆放、车辆停放、装修管控等日常服务问题。</w:t>
      </w:r>
    </w:p>
    <w:p w14:paraId="3E61F98E">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3.设施运维类：</w:t>
      </w:r>
      <w:r>
        <w:rPr>
          <w:rFonts w:hint="eastAsia" w:ascii="仿宋_GB2312" w:hAnsi="仿宋_GB2312" w:eastAsia="仿宋_GB2312" w:cs="仿宋_GB2312"/>
          <w:sz w:val="32"/>
          <w:szCs w:val="32"/>
          <w:lang w:val="en-US" w:eastAsia="zh-CN"/>
        </w:rPr>
        <w:t>路灯、门禁、给排水、配电、充电桩等公共设施损坏，管道堵塞、小型公共设施维修等问题。</w:t>
      </w:r>
    </w:p>
    <w:p w14:paraId="5A95211C">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4.收费权益类：</w:t>
      </w:r>
      <w:r>
        <w:rPr>
          <w:rFonts w:hint="eastAsia" w:ascii="仿宋_GB2312" w:hAnsi="仿宋_GB2312" w:eastAsia="仿宋_GB2312" w:cs="仿宋_GB2312"/>
          <w:sz w:val="32"/>
          <w:szCs w:val="32"/>
          <w:lang w:val="en-US" w:eastAsia="zh-CN"/>
        </w:rPr>
        <w:t>物业费、停车服务费、公摊水电费争议，乱收费、收支不公示、公共收益管理使用、退费等权益纠纷。</w:t>
      </w:r>
    </w:p>
    <w:p w14:paraId="57FD4D2F">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5.疑难群体性类：</w:t>
      </w:r>
      <w:r>
        <w:rPr>
          <w:rFonts w:hint="eastAsia" w:ascii="仿宋_GB2312" w:hAnsi="仿宋_GB2312" w:eastAsia="仿宋_GB2312" w:cs="仿宋_GB2312"/>
          <w:sz w:val="32"/>
          <w:szCs w:val="32"/>
          <w:lang w:val="en-US" w:eastAsia="zh-CN"/>
        </w:rPr>
        <w:t>历史遗留物业矛盾、重复投诉、业主联名诉求、网络舆情、上级重点督办件、越级信访、集体维权等复杂事项。</w:t>
      </w:r>
    </w:p>
    <w:p w14:paraId="7398BA4D">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第六条 投诉等级及办理时限</w:t>
      </w:r>
    </w:p>
    <w:p w14:paraId="33A62D4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按照紧急程度、处置难度将投诉划分为四个等级，物业服务企业必须严格遵守以下限时处置规定：</w:t>
      </w:r>
    </w:p>
    <w:p w14:paraId="22B3A01E">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1.一级（紧急投诉）：</w:t>
      </w:r>
      <w:r>
        <w:rPr>
          <w:rFonts w:hint="eastAsia" w:ascii="仿宋_GB2312" w:hAnsi="仿宋_GB2312" w:eastAsia="仿宋_GB2312" w:cs="仿宋_GB2312"/>
          <w:sz w:val="32"/>
          <w:szCs w:val="32"/>
          <w:lang w:val="en-US" w:eastAsia="zh-CN"/>
        </w:rPr>
        <w:t>对应安全应急类事项。接报后15分钟内联系诉求人，30分钟内工作人员抵达现场、设置安全警示并开展应急处置，同时向主管部门及相关部门报告事项基本情况，24小时内完成险情处置与问题整改；办结当日向区住建局报送处置结果并完成回访销号。区住建局在1个工作日内完成复核，对存疑事项实行挂牌督办。</w:t>
      </w:r>
    </w:p>
    <w:p w14:paraId="783FF0EF">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2.二级（一般投诉）：</w:t>
      </w:r>
      <w:r>
        <w:rPr>
          <w:rFonts w:hint="eastAsia" w:ascii="仿宋_GB2312" w:hAnsi="仿宋_GB2312" w:eastAsia="仿宋_GB2312" w:cs="仿宋_GB2312"/>
          <w:sz w:val="32"/>
          <w:szCs w:val="32"/>
          <w:lang w:val="en-US" w:eastAsia="zh-CN"/>
        </w:rPr>
        <w:t>对应基础服务类、简易设施运维类事项。接诉后30分钟内登记并对接诉求人，2小时内到达现场核实情况；简易问题当日办结，复杂常规问题48小时内整改到位，办结后24小时内完成回访，回访后1个工作日内向主管部门报送办结资料。</w:t>
      </w:r>
    </w:p>
    <w:p w14:paraId="347305AB">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3.三级（复杂投诉）：</w:t>
      </w:r>
      <w:r>
        <w:rPr>
          <w:rFonts w:hint="eastAsia" w:ascii="仿宋_GB2312" w:hAnsi="仿宋_GB2312" w:eastAsia="仿宋_GB2312" w:cs="仿宋_GB2312"/>
          <w:sz w:val="32"/>
          <w:szCs w:val="32"/>
          <w:lang w:val="en-US" w:eastAsia="zh-CN"/>
        </w:rPr>
        <w:t>对应收费权益类、需采购配件维修、多方邻里纠纷等事项。接诉后4小时内组织联合核查研判并出具初步处置方案，7个工作日内办结整改；整改验收完成后12小时内开展回访。因客观原因确需延期办理的，须在到期前1个工作日书面告知业主、业委会，并向区住建局报备，单次延期最长不得超过5个工作日。</w:t>
      </w:r>
    </w:p>
    <w:p w14:paraId="1CE8E649">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4.四级（群体性信访投诉）：</w:t>
      </w:r>
      <w:r>
        <w:rPr>
          <w:rFonts w:hint="eastAsia" w:ascii="仿宋_GB2312" w:hAnsi="仿宋_GB2312" w:eastAsia="仿宋_GB2312" w:cs="仿宋_GB2312"/>
          <w:sz w:val="32"/>
          <w:szCs w:val="32"/>
          <w:lang w:val="en-US" w:eastAsia="zh-CN"/>
        </w:rPr>
        <w:t>对应业主联名投诉、网络舆情、越级信访、上级重点督办反馈事项。接诉后30分钟内对接诉求代表，第一时间同步上报区住建局及属地乡镇（街道）；当日由区住建局牵头，组织相关部门、属地街道、业委会/物管会、物业企业开展联合核查研判，12小时内制定整改方案，10个工作日内完成整改，全部问题办结后完成专项回访销号。</w:t>
      </w:r>
    </w:p>
    <w:p w14:paraId="21A6216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default"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第七条 物业经理接访制度</w:t>
      </w:r>
    </w:p>
    <w:p w14:paraId="04F32776">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（一）接待时间与地点</w:t>
      </w:r>
    </w:p>
    <w:p w14:paraId="517794A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1.固定接待时间：每周星期五上午9:30—12:30，下午15:00—19:00常态化接待；</w:t>
      </w:r>
    </w:p>
    <w:p w14:paraId="331D6D00">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2.临时接待安排：出现群体性诉求、负面舆情、重大信访交办事项时，当日增设专项接待，并及时报备区住建局、属地乡镇（街道）。</w:t>
      </w:r>
    </w:p>
    <w:p w14:paraId="4CC300F6">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3.固定接待地点：物业办公区域设置独立信访接待室，接待地点长期公示。</w:t>
      </w:r>
    </w:p>
    <w:p w14:paraId="59084F3D">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（二）履职要求</w:t>
      </w:r>
    </w:p>
    <w:p w14:paraId="2AEEC9D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接待工作由在岗物业服务项目经理本人负责，不得委托客服、主管等人员代为接待。项目经理因病因事无法到岗的，须提前向区住建局、业委会报备，由物业区域负责人顶岗接待。每次接待需由业委会/物管会或社区居委会派员列席监督；处置群体性诉求时，乡镇（街道）按需到场协助维护秩序、沟通协调。针对多户联名诉求，可组织业主代表集中座谈接待。</w:t>
      </w:r>
    </w:p>
    <w:p w14:paraId="7A01D5F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（三）工作纪律</w:t>
      </w:r>
    </w:p>
    <w:p w14:paraId="0D027DC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sz w:val="32"/>
          <w:szCs w:val="32"/>
          <w:highlight w:val="none"/>
          <w:lang w:val="en-US" w:eastAsia="zh-CN"/>
        </w:rPr>
        <w:t>项目经理不得无故缺席、迟到、早退；接访期间严禁敷衍、顶撞诉求人，严禁泄露信访人隐私、打击报复投诉业主。严格登记接待台账，并每周报送区住建局备案。</w:t>
      </w:r>
    </w:p>
    <w:p w14:paraId="34B03BA5">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第八条 投诉渠道与公示</w:t>
      </w:r>
    </w:p>
    <w:p w14:paraId="1DD120F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住宅小区须在主出入口、物业服务大厅等醒目位置，长期固定公示全区统一投诉渠道，公示内容不得遮挡、篡改。公示内容包括：区住建局、乡镇（街道）、社区及市场监管、公安、城管、消防、供水、供电、供气、供暖等单位投诉电话、受理范围，以及本小区投诉办理流程、物业经理接待日时间及地点。</w:t>
      </w:r>
    </w:p>
    <w:p w14:paraId="6469480E">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第九条 物业公司日常受理投诉问题处置程序</w:t>
      </w:r>
    </w:p>
    <w:p w14:paraId="56AEFB9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lang w:val="en-US" w:eastAsia="zh-CN"/>
        </w:rPr>
      </w:pPr>
      <w:r>
        <w:rPr>
          <w:rFonts w:hint="eastAsia" w:ascii="楷体" w:hAnsi="楷体" w:eastAsia="楷体" w:cs="楷体"/>
          <w:sz w:val="32"/>
          <w:szCs w:val="32"/>
          <w:lang w:val="en-US" w:eastAsia="zh-CN"/>
        </w:rPr>
        <w:t>（一）受理渠道</w:t>
      </w:r>
    </w:p>
    <w:p w14:paraId="0F7D081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 w:hAnsi="楷体" w:eastAsia="楷体" w:cs="楷体"/>
          <w:sz w:val="32"/>
          <w:szCs w:val="32"/>
          <w:lang w:val="en-US" w:eastAsia="zh-CN"/>
        </w:rPr>
      </w:pPr>
      <w:r>
        <w:rPr>
          <w:rFonts w:hint="eastAsia" w:ascii="仿宋_GB2312" w:hAnsi="仿宋_GB2312" w:eastAsia="仿宋_GB2312" w:cs="仿宋_GB2312"/>
          <w:sz w:val="32"/>
          <w:szCs w:val="32"/>
          <w:lang w:val="en-US" w:eastAsia="zh-CN"/>
        </w:rPr>
        <w:t>业主现场诉求、日常巡查发现、物业经理接待日受理、业委会（物管会）移交、业主线上线下反馈问题等。</w:t>
      </w:r>
    </w:p>
    <w:p w14:paraId="08EC8D4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（二）处置流程</w:t>
      </w:r>
    </w:p>
    <w:p w14:paraId="3B84091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业主诉求提交→专人接诉登记（接诉即录，30分钟内录入台账、生成唯一工单）→按投诉等级分级派单→限时现场核查取证→现场调处/整改→业主现场核验→专人回访→办结归档；业主不满意立即启动二次处置（项目经理牵头重办→业委会/社区调解→行业部门督办）。</w:t>
      </w:r>
    </w:p>
    <w:p w14:paraId="575BE17A">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（三）分环节办理要求</w:t>
      </w:r>
    </w:p>
    <w:p w14:paraId="4385BFC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 受理登记</w:t>
      </w:r>
    </w:p>
    <w:p w14:paraId="53DE471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紧急事项可先应急处置，事后补登台账；非物业权责诉求，1小时内书面告知业主维权途径，并同步上报区住建局及相关职能部门。</w:t>
      </w:r>
    </w:p>
    <w:p w14:paraId="57D5A34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 现场处置</w:t>
      </w:r>
    </w:p>
    <w:p w14:paraId="209BC0A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一、二级投诉派至一线班组；三级投诉由部门主管牵头；四级群体性投诉由项目经理牵头，同步上报属地乡镇（街道）。</w:t>
      </w:r>
    </w:p>
    <w:p w14:paraId="1CEAB50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 回访核验</w:t>
      </w:r>
    </w:p>
    <w:p w14:paraId="5D49E31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整改完成后第一时间反馈业主，按等级限时回访；回访不满意、整改不达标的，限期二次整改，直至问题化解方可销号。</w:t>
      </w:r>
    </w:p>
    <w:p w14:paraId="206A16A2">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（四）档案管理</w:t>
      </w:r>
    </w:p>
    <w:p w14:paraId="055009C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b/>
          <w:bCs/>
          <w:sz w:val="32"/>
          <w:szCs w:val="32"/>
          <w:lang w:val="en-US" w:eastAsia="zh-CN"/>
        </w:rPr>
      </w:pPr>
      <w:r>
        <w:rPr>
          <w:rFonts w:hint="eastAsia" w:ascii="仿宋_GB2312" w:hAnsi="仿宋_GB2312" w:eastAsia="仿宋_GB2312" w:cs="仿宋_GB2312"/>
          <w:sz w:val="32"/>
          <w:szCs w:val="32"/>
          <w:lang w:val="en-US" w:eastAsia="zh-CN"/>
        </w:rPr>
        <w:t>建立日常业主投诉台账，电子档案永久留存，纸质档案留存不少于5年；每月5日前向区住建局报送上月整改及接访清单。</w:t>
      </w:r>
    </w:p>
    <w:p w14:paraId="29BC8E23">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第十条 行业监管部门转办信访投诉处置程序</w:t>
      </w:r>
    </w:p>
    <w:p w14:paraId="586AB0B6">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（一）受理渠道</w:t>
      </w:r>
    </w:p>
    <w:p w14:paraId="4693DF4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区住建局及相关职能部门转办的12345政务热线、各级信访平台、上级单位交办件。</w:t>
      </w:r>
    </w:p>
    <w:p w14:paraId="38793994">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（二）处置流程</w:t>
      </w:r>
    </w:p>
    <w:p w14:paraId="7B432ACE">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黑体" w:hAnsi="黑体" w:eastAsia="黑体" w:cs="黑体"/>
          <w:sz w:val="32"/>
          <w:szCs w:val="32"/>
          <w:lang w:val="en-US" w:eastAsia="zh-CN"/>
        </w:rPr>
      </w:pPr>
      <w:r>
        <w:rPr>
          <w:rFonts w:hint="eastAsia" w:ascii="仿宋_GB2312" w:hAnsi="仿宋_GB2312" w:eastAsia="仿宋_GB2312" w:cs="仿宋_GB2312"/>
          <w:sz w:val="32"/>
          <w:szCs w:val="32"/>
          <w:lang w:val="en-US" w:eastAsia="zh-CN"/>
        </w:rPr>
        <w:t>签收交办件→专人登记建档→分级派单处置→核查整改→对接诉求人沟通反馈→按模板撰写上报材料→主管部门复核回访→办结归档；整改超时、回访不满意纳入督办</w:t>
      </w:r>
      <w:r>
        <w:rPr>
          <w:rFonts w:hint="eastAsia" w:ascii="黑体" w:hAnsi="黑体" w:eastAsia="黑体" w:cs="黑体"/>
          <w:sz w:val="32"/>
          <w:szCs w:val="32"/>
          <w:lang w:val="en-US" w:eastAsia="zh-CN"/>
        </w:rPr>
        <w:t>。</w:t>
      </w:r>
    </w:p>
    <w:p w14:paraId="449F8E43">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（三）分环节办理要求</w:t>
      </w:r>
    </w:p>
    <w:p w14:paraId="021F3F0B">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 签收登记。物业企业收到交办件即时登记上级转交信访投诉处置台账，标注交办编号、来源、答复时限，全程跟踪进度。</w:t>
      </w:r>
    </w:p>
    <w:p w14:paraId="482A7244">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 整改处置。物业企业严格按照一至四级投诉时限完成核查、整改、沟通，复杂群体性事项第一时间联合社区、业委会协同处置。</w:t>
      </w:r>
    </w:p>
    <w:p w14:paraId="02A92CC8">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 材料上报。物业企业对12345热线投诉件使用《物业服务信访投诉交办单》填报处置、回访情况。人民网等信访平台件使用专用报告模板撰写正式办理文书。严格遵守交办时限上报，做到内容真实、流程完整、佐证齐全，禁止错报、漏报、敷衍填报。</w:t>
      </w:r>
    </w:p>
    <w:p w14:paraId="4E204127">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 复核回访。物业企业先期进行回访，区住建局对回访情况复核，不满意件退回整改工单限期进行二次处置。</w:t>
      </w:r>
    </w:p>
    <w:p w14:paraId="5FA18344">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（四）档案管理</w:t>
      </w:r>
    </w:p>
    <w:p w14:paraId="4800CA86">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交办件原件、处置文稿、报送回执统一归入上级转交信访投诉处置台账，逐月装订归档，纸质档案留存不少于5年，随时接受调阅检查。</w:t>
      </w:r>
    </w:p>
    <w:p w14:paraId="2A8787DD">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第十一条 督办机制</w:t>
      </w:r>
    </w:p>
    <w:p w14:paraId="2C3BEC6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（一）一级内部督办（物业企业自主督办）</w:t>
      </w:r>
    </w:p>
    <w:p w14:paraId="3EEBFFF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适用情形：工单临近办结时限、工单首次超时、首次回访不满意、一般性重复投诉、上级交办件未按时上报。</w:t>
      </w:r>
    </w:p>
    <w:p w14:paraId="306DF04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由物业企业负责人牵头督办，项目经理在24小时内优化处置方案，完成整改、回访及材料上报；对履职不力人员，由企业内部依规追责。</w:t>
      </w:r>
    </w:p>
    <w:p w14:paraId="470E1C4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（二）二级行业督办（区住建局+属地乡镇街道）</w:t>
      </w:r>
    </w:p>
    <w:p w14:paraId="2920467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适用情形：工单超出规定办结时限、同一诉求重复投诉2次、二次回访不满意、物业经理接待日履职缺位、片区高频投诉、上级交办件错报、漏报、逾期上报。</w:t>
      </w:r>
    </w:p>
    <w:p w14:paraId="3307799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由区住建局联合属地乡镇（街道）下发《限期整改通知书》，约谈物业企业法定代表人及项目负责人，限期3个工作日完成整改、补报材料，督办结果纳入物业红黑榜考评。</w:t>
      </w:r>
    </w:p>
    <w:p w14:paraId="2157A53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（三）三级区级挂牌督办（多部门联合督办）</w:t>
      </w:r>
    </w:p>
    <w:p w14:paraId="516FA69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适用情形：工单超时达到规定时限2倍及以上、同一诉求重复投诉3次及以上、物业推诿拒办、虚假销号、擅自上交矛盾、引发集体上访或负面舆情、二级督办后仍拒不整改、多次出现交办件拒报、弄虚作假等行为。</w:t>
      </w:r>
    </w:p>
    <w:p w14:paraId="3BD213F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第十二条 督查与考核</w:t>
      </w:r>
    </w:p>
    <w:p w14:paraId="34E3FAF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物业服务企业统一建立《行业监管部门转办信访投诉处置台账》和《日常受理投诉处置台账》，区住建局实行月度抽查、月度通报制度，重点抽查以下内容：投诉办结时效、应急处置落实情况、上级交办件上报时效与质量。</w:t>
      </w:r>
    </w:p>
    <w:p w14:paraId="3BA880E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第十三条 违规追责情形</w:t>
      </w:r>
    </w:p>
    <w:p w14:paraId="6CCD24E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物业服务企业及工作人员存在下列行为之一的，认定为信访投诉处置第一道关口履职失守，由主管部门约谈、通报批评，涉嫌违规行为依规行政处罚，符合条件的直接纳入黑榜管理：</w:t>
      </w:r>
    </w:p>
    <w:p w14:paraId="5C143330">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1.拒收业主合法诉求、推诿拒办、私自销单、虚假整改，擅自将矛盾上交；</w:t>
      </w:r>
    </w:p>
    <w:p w14:paraId="70B5F59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2.遮挡投诉公示内容、物业经理无故缺席接待日、漠视业主合理诉求；</w:t>
      </w:r>
    </w:p>
    <w:p w14:paraId="642BF3F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3.泄露投诉人隐私、打击报复投诉业主、篡改工单台账及上报材料；</w:t>
      </w:r>
    </w:p>
    <w:p w14:paraId="1D81B8A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4.处置不当引发群体性上访、越级信访、媒体负面舆情；</w:t>
      </w:r>
    </w:p>
    <w:p w14:paraId="3F753D3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5.物业项目退出阶段，拒不办结存量投诉、不移交台账资料、恶意中断服务激化矛盾；</w:t>
      </w:r>
    </w:p>
    <w:p w14:paraId="2095636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6.对上级交办信访投诉逾期不报、错报瞒报、敷衍应付，经提醒后仍拒不整改。</w:t>
      </w:r>
    </w:p>
    <w:p w14:paraId="21555E5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7.履职缺位、矛盾化解率偏低、投诉总量占所在街道辖区物业投诉总量20%以上、处置不当激化矛盾、交办件存在超时不报、敷衍上报的。</w:t>
      </w:r>
    </w:p>
    <w:p w14:paraId="039882ED">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bCs/>
          <w:sz w:val="32"/>
          <w:szCs w:val="32"/>
          <w:lang w:val="en-US" w:eastAsia="zh-CN"/>
        </w:rPr>
      </w:pPr>
    </w:p>
    <w:p w14:paraId="00F82FF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附件</w:t>
      </w:r>
    </w:p>
    <w:p w14:paraId="671BE4E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1.物业服务信访投诉交办单</w:t>
      </w:r>
    </w:p>
    <w:p w14:paraId="71D8FCE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2.“人民网”等督考一体化信访投诉平台答复模板</w:t>
      </w:r>
    </w:p>
    <w:p w14:paraId="0B48F87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3.行业监管部门转办信访投诉处置台账</w:t>
      </w:r>
    </w:p>
    <w:p w14:paraId="3D75855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4.日常受理投诉处置台账</w:t>
      </w:r>
    </w:p>
    <w:p w14:paraId="2F2782DD">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lang w:val="en-US" w:eastAsia="zh-CN"/>
        </w:rPr>
      </w:pPr>
    </w:p>
    <w:p w14:paraId="300497AE">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lang w:val="en-US" w:eastAsia="zh-CN"/>
        </w:rPr>
      </w:pPr>
    </w:p>
    <w:p w14:paraId="1E640A2A">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lang w:val="en-US" w:eastAsia="zh-CN"/>
        </w:rPr>
      </w:pPr>
    </w:p>
    <w:p w14:paraId="20A6D450">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lang w:val="en-US" w:eastAsia="zh-CN"/>
        </w:rPr>
      </w:pPr>
    </w:p>
    <w:p w14:paraId="4CF92B6B">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lang w:val="en-US" w:eastAsia="zh-CN"/>
        </w:rPr>
      </w:pPr>
    </w:p>
    <w:p w14:paraId="33475250">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lang w:val="en-US" w:eastAsia="zh-CN"/>
        </w:rPr>
      </w:pPr>
    </w:p>
    <w:p w14:paraId="2FBD7631">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lang w:val="en-US" w:eastAsia="zh-CN"/>
        </w:rPr>
      </w:pPr>
    </w:p>
    <w:p w14:paraId="51DA0026">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lang w:val="en-US" w:eastAsia="zh-CN"/>
        </w:rPr>
      </w:pPr>
    </w:p>
    <w:p w14:paraId="2BCE933E">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lang w:val="en-US" w:eastAsia="zh-CN"/>
        </w:rPr>
      </w:pPr>
    </w:p>
    <w:p w14:paraId="6FA8CF45">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lang w:val="en-US" w:eastAsia="zh-CN"/>
        </w:rPr>
      </w:pPr>
    </w:p>
    <w:p w14:paraId="55B13700">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lang w:val="en-US" w:eastAsia="zh-CN"/>
        </w:rPr>
      </w:pPr>
    </w:p>
    <w:p w14:paraId="6E497229">
      <w:pPr>
        <w:pStyle w:val="3"/>
        <w:keepNext w:val="0"/>
        <w:keepLines w:val="0"/>
        <w:pageBreakBefore w:val="0"/>
        <w:widowControl w:val="0"/>
        <w:kinsoku/>
        <w:wordWrap/>
        <w:overflowPunct/>
        <w:topLinePunct w:val="0"/>
        <w:bidi w:val="0"/>
        <w:rPr>
          <w:rFonts w:hint="default" w:ascii="Times New Roman" w:hAnsi="Times New Roman" w:eastAsia="黑体" w:cs="Times New Roman"/>
          <w:b w:val="0"/>
          <w:i w:val="0"/>
          <w:caps w:val="0"/>
          <w:color w:val="auto"/>
          <w:spacing w:val="0"/>
          <w:w w:val="100"/>
          <w:kern w:val="0"/>
          <w:sz w:val="32"/>
          <w:szCs w:val="32"/>
          <w:lang w:val="en-US" w:eastAsia="zh-CN"/>
        </w:rPr>
      </w:pPr>
      <w:r>
        <w:rPr>
          <w:rFonts w:hint="default" w:ascii="Times New Roman" w:hAnsi="Times New Roman" w:eastAsia="黑体" w:cs="Times New Roman"/>
          <w:b w:val="0"/>
          <w:i w:val="0"/>
          <w:caps w:val="0"/>
          <w:color w:val="auto"/>
          <w:spacing w:val="0"/>
          <w:w w:val="100"/>
          <w:kern w:val="0"/>
          <w:sz w:val="32"/>
          <w:szCs w:val="32"/>
          <w:lang w:val="en-US" w:eastAsia="zh-CN"/>
        </w:rPr>
        <w:t>附件</w:t>
      </w:r>
      <w:r>
        <w:rPr>
          <w:rFonts w:hint="eastAsia" w:ascii="Times New Roman" w:hAnsi="Times New Roman" w:eastAsia="黑体" w:cs="Times New Roman"/>
          <w:b w:val="0"/>
          <w:i w:val="0"/>
          <w:caps w:val="0"/>
          <w:color w:val="auto"/>
          <w:spacing w:val="0"/>
          <w:w w:val="100"/>
          <w:kern w:val="0"/>
          <w:sz w:val="32"/>
          <w:szCs w:val="32"/>
          <w:lang w:val="en-US" w:eastAsia="zh-CN"/>
        </w:rPr>
        <w:t>1</w:t>
      </w:r>
      <w:r>
        <w:rPr>
          <w:rFonts w:hint="default" w:ascii="Times New Roman" w:hAnsi="Times New Roman" w:eastAsia="黑体" w:cs="Times New Roman"/>
          <w:b w:val="0"/>
          <w:i w:val="0"/>
          <w:caps w:val="0"/>
          <w:color w:val="auto"/>
          <w:spacing w:val="0"/>
          <w:w w:val="100"/>
          <w:kern w:val="0"/>
          <w:sz w:val="32"/>
          <w:szCs w:val="32"/>
          <w:lang w:val="en-US" w:eastAsia="zh-CN"/>
        </w:rPr>
        <w:t>：</w:t>
      </w:r>
    </w:p>
    <w:p w14:paraId="7C50F4C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imes New Roman" w:hAnsi="Times New Roman" w:eastAsia="方正小标宋简体" w:cs="Times New Roman"/>
          <w:sz w:val="44"/>
          <w:szCs w:val="44"/>
          <w:lang w:val="en-US" w:eastAsia="zh-CN"/>
        </w:rPr>
      </w:pPr>
      <w:r>
        <w:rPr>
          <w:rFonts w:hint="eastAsia" w:ascii="Times New Roman" w:hAnsi="Times New Roman" w:eastAsia="方正小标宋简体" w:cs="Times New Roman"/>
          <w:sz w:val="44"/>
          <w:szCs w:val="44"/>
          <w:lang w:val="en-US" w:eastAsia="zh-CN"/>
        </w:rPr>
        <w:t>甘州区城乡物业服务中心</w:t>
      </w:r>
    </w:p>
    <w:p w14:paraId="46D667C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物业服务信访投诉交办单</w:t>
      </w:r>
    </w:p>
    <w:p w14:paraId="359DF546">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32"/>
          <w:szCs w:val="32"/>
          <w:lang w:val="en-US" w:eastAsia="zh-CN"/>
        </w:rPr>
      </w:pPr>
    </w:p>
    <w:p w14:paraId="5D15E7E9">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处理单位（盖章）：</w:t>
      </w:r>
      <w:r>
        <w:rPr>
          <w:rFonts w:hint="eastAsia" w:ascii="Times New Roman" w:hAnsi="Times New Roman" w:eastAsia="仿宋_GB2312" w:cs="Times New Roman"/>
          <w:sz w:val="32"/>
          <w:szCs w:val="32"/>
          <w:lang w:val="en-US" w:eastAsia="zh-CN"/>
        </w:rPr>
        <w:t xml:space="preserve">                       交办编号：</w:t>
      </w:r>
    </w:p>
    <w:tbl>
      <w:tblPr>
        <w:tblStyle w:val="5"/>
        <w:tblW w:w="93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6"/>
        <w:gridCol w:w="2393"/>
        <w:gridCol w:w="1857"/>
        <w:gridCol w:w="3483"/>
      </w:tblGrid>
      <w:tr w14:paraId="218D6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1576" w:type="dxa"/>
            <w:noWrap w:val="0"/>
            <w:vAlign w:val="center"/>
          </w:tcPr>
          <w:p w14:paraId="14B1063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sz w:val="32"/>
                <w:szCs w:val="32"/>
                <w:vertAlign w:val="baseline"/>
                <w:lang w:val="en-US" w:eastAsia="zh-CN"/>
              </w:rPr>
            </w:pPr>
            <w:r>
              <w:rPr>
                <w:rFonts w:hint="default" w:ascii="Times New Roman" w:hAnsi="Times New Roman" w:eastAsia="黑体" w:cs="Times New Roman"/>
                <w:sz w:val="32"/>
                <w:szCs w:val="32"/>
                <w:vertAlign w:val="baseline"/>
                <w:lang w:val="en-US" w:eastAsia="zh-CN"/>
              </w:rPr>
              <w:t>投诉来源</w:t>
            </w:r>
          </w:p>
        </w:tc>
        <w:tc>
          <w:tcPr>
            <w:tcW w:w="2393" w:type="dxa"/>
            <w:noWrap w:val="0"/>
            <w:vAlign w:val="top"/>
          </w:tcPr>
          <w:p w14:paraId="140C898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vertAlign w:val="baseline"/>
              </w:rPr>
            </w:pPr>
          </w:p>
        </w:tc>
        <w:tc>
          <w:tcPr>
            <w:tcW w:w="1857" w:type="dxa"/>
            <w:noWrap w:val="0"/>
            <w:vAlign w:val="top"/>
          </w:tcPr>
          <w:p w14:paraId="2A98E9B8">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 w:val="32"/>
                <w:szCs w:val="32"/>
                <w:vertAlign w:val="baseline"/>
                <w:lang w:val="en-US" w:eastAsia="zh-CN"/>
              </w:rPr>
            </w:pPr>
            <w:r>
              <w:rPr>
                <w:rFonts w:hint="default" w:ascii="Times New Roman" w:hAnsi="Times New Roman" w:eastAsia="黑体" w:cs="Times New Roman"/>
                <w:sz w:val="32"/>
                <w:szCs w:val="32"/>
                <w:vertAlign w:val="baseline"/>
                <w:lang w:val="en-US" w:eastAsia="zh-CN"/>
              </w:rPr>
              <w:t>投诉时间</w:t>
            </w:r>
          </w:p>
        </w:tc>
        <w:tc>
          <w:tcPr>
            <w:tcW w:w="3483" w:type="dxa"/>
            <w:noWrap w:val="0"/>
            <w:vAlign w:val="top"/>
          </w:tcPr>
          <w:p w14:paraId="1CF077F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vertAlign w:val="baseline"/>
              </w:rPr>
            </w:pPr>
            <w:r>
              <w:rPr>
                <w:rFonts w:hint="default" w:ascii="Times New Roman" w:hAnsi="Times New Roman" w:eastAsia="仿宋_GB2312" w:cs="Times New Roman"/>
                <w:sz w:val="32"/>
                <w:szCs w:val="32"/>
                <w:u w:val="single"/>
                <w:vertAlign w:val="baseline"/>
                <w:lang w:val="en-US" w:eastAsia="zh-CN"/>
              </w:rPr>
              <w:t xml:space="preserve">    </w:t>
            </w:r>
            <w:r>
              <w:rPr>
                <w:rFonts w:hint="default" w:ascii="Times New Roman" w:hAnsi="Times New Roman" w:eastAsia="仿宋_GB2312" w:cs="Times New Roman"/>
                <w:sz w:val="32"/>
                <w:szCs w:val="32"/>
                <w:u w:val="none"/>
                <w:vertAlign w:val="baseline"/>
                <w:lang w:val="en-US" w:eastAsia="zh-CN"/>
              </w:rPr>
              <w:t>年</w:t>
            </w:r>
            <w:r>
              <w:rPr>
                <w:rFonts w:hint="default" w:ascii="Times New Roman" w:hAnsi="Times New Roman" w:eastAsia="仿宋_GB2312" w:cs="Times New Roman"/>
                <w:sz w:val="32"/>
                <w:szCs w:val="32"/>
                <w:u w:val="single"/>
                <w:vertAlign w:val="baseline"/>
                <w:lang w:val="en-US" w:eastAsia="zh-CN"/>
              </w:rPr>
              <w:t xml:space="preserve">    </w:t>
            </w:r>
            <w:r>
              <w:rPr>
                <w:rFonts w:hint="default" w:ascii="Times New Roman" w:hAnsi="Times New Roman" w:eastAsia="仿宋_GB2312" w:cs="Times New Roman"/>
                <w:sz w:val="32"/>
                <w:szCs w:val="32"/>
                <w:vertAlign w:val="baseline"/>
                <w:lang w:val="en-US" w:eastAsia="zh-CN"/>
              </w:rPr>
              <w:t>月</w:t>
            </w:r>
            <w:r>
              <w:rPr>
                <w:rFonts w:hint="default" w:ascii="Times New Roman" w:hAnsi="Times New Roman" w:eastAsia="仿宋_GB2312" w:cs="Times New Roman"/>
                <w:sz w:val="32"/>
                <w:szCs w:val="32"/>
                <w:u w:val="single"/>
                <w:vertAlign w:val="baseline"/>
                <w:lang w:val="en-US" w:eastAsia="zh-CN"/>
              </w:rPr>
              <w:t xml:space="preserve">    </w:t>
            </w:r>
            <w:r>
              <w:rPr>
                <w:rFonts w:hint="default" w:ascii="Times New Roman" w:hAnsi="Times New Roman" w:eastAsia="仿宋_GB2312" w:cs="Times New Roman"/>
                <w:sz w:val="32"/>
                <w:szCs w:val="32"/>
                <w:vertAlign w:val="baseline"/>
                <w:lang w:val="en-US" w:eastAsia="zh-CN"/>
              </w:rPr>
              <w:t>日</w:t>
            </w:r>
          </w:p>
        </w:tc>
      </w:tr>
      <w:tr w14:paraId="4CABD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1576" w:type="dxa"/>
            <w:noWrap w:val="0"/>
            <w:vAlign w:val="center"/>
          </w:tcPr>
          <w:p w14:paraId="33C3DD6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sz w:val="32"/>
                <w:szCs w:val="32"/>
                <w:vertAlign w:val="baseline"/>
                <w:lang w:val="en-US" w:eastAsia="zh-CN"/>
              </w:rPr>
            </w:pPr>
            <w:r>
              <w:rPr>
                <w:rFonts w:hint="default" w:ascii="Times New Roman" w:hAnsi="Times New Roman" w:eastAsia="黑体" w:cs="Times New Roman"/>
                <w:sz w:val="32"/>
                <w:szCs w:val="32"/>
                <w:vertAlign w:val="baseline"/>
                <w:lang w:val="en-US" w:eastAsia="zh-CN"/>
              </w:rPr>
              <w:t>投诉人</w:t>
            </w:r>
          </w:p>
        </w:tc>
        <w:tc>
          <w:tcPr>
            <w:tcW w:w="2393" w:type="dxa"/>
            <w:noWrap w:val="0"/>
            <w:vAlign w:val="top"/>
          </w:tcPr>
          <w:p w14:paraId="0B01A4A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vertAlign w:val="baseline"/>
                <w:lang w:val="en-US" w:eastAsia="zh-CN"/>
              </w:rPr>
            </w:pPr>
          </w:p>
        </w:tc>
        <w:tc>
          <w:tcPr>
            <w:tcW w:w="1857" w:type="dxa"/>
            <w:noWrap w:val="0"/>
            <w:vAlign w:val="top"/>
          </w:tcPr>
          <w:p w14:paraId="74422CD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 w:val="32"/>
                <w:szCs w:val="32"/>
                <w:vertAlign w:val="baseline"/>
                <w:lang w:val="en-US" w:eastAsia="zh-CN"/>
              </w:rPr>
            </w:pPr>
            <w:r>
              <w:rPr>
                <w:rFonts w:hint="default" w:ascii="Times New Roman" w:hAnsi="Times New Roman" w:eastAsia="黑体" w:cs="Times New Roman"/>
                <w:sz w:val="32"/>
                <w:szCs w:val="32"/>
                <w:vertAlign w:val="baseline"/>
                <w:lang w:val="en-US" w:eastAsia="zh-CN"/>
              </w:rPr>
              <w:t>责任企业</w:t>
            </w:r>
          </w:p>
        </w:tc>
        <w:tc>
          <w:tcPr>
            <w:tcW w:w="3483" w:type="dxa"/>
            <w:noWrap w:val="0"/>
            <w:vAlign w:val="top"/>
          </w:tcPr>
          <w:p w14:paraId="5BB3B029">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vertAlign w:val="baseline"/>
                <w:lang w:val="en-US" w:eastAsia="zh-CN"/>
              </w:rPr>
            </w:pPr>
            <w:r>
              <w:rPr>
                <w:rFonts w:hint="default" w:ascii="Times New Roman" w:hAnsi="Times New Roman" w:eastAsia="仿宋_GB2312" w:cs="Times New Roman"/>
                <w:sz w:val="32"/>
                <w:szCs w:val="32"/>
                <w:vertAlign w:val="baseline"/>
                <w:lang w:val="en-US" w:eastAsia="zh-CN"/>
              </w:rPr>
              <w:t xml:space="preserve"> </w:t>
            </w:r>
            <w:r>
              <w:rPr>
                <w:rFonts w:hint="default" w:ascii="Times New Roman" w:hAnsi="Times New Roman" w:eastAsia="仿宋_GB2312" w:cs="Times New Roman"/>
                <w:sz w:val="32"/>
                <w:szCs w:val="32"/>
                <w:u w:val="single"/>
                <w:vertAlign w:val="baseline"/>
                <w:lang w:val="en-US" w:eastAsia="zh-CN"/>
              </w:rPr>
              <w:t xml:space="preserve">     </w:t>
            </w:r>
            <w:r>
              <w:rPr>
                <w:rFonts w:hint="eastAsia" w:ascii="Times New Roman" w:hAnsi="Times New Roman" w:eastAsia="仿宋_GB2312" w:cs="Times New Roman"/>
                <w:sz w:val="32"/>
                <w:szCs w:val="32"/>
                <w:u w:val="single"/>
                <w:vertAlign w:val="baseline"/>
                <w:lang w:val="en-US" w:eastAsia="zh-CN"/>
              </w:rPr>
              <w:t xml:space="preserve">  </w:t>
            </w:r>
            <w:r>
              <w:rPr>
                <w:rFonts w:hint="default" w:ascii="Times New Roman" w:hAnsi="Times New Roman" w:eastAsia="仿宋_GB2312" w:cs="Times New Roman"/>
                <w:sz w:val="32"/>
                <w:szCs w:val="32"/>
                <w:u w:val="single"/>
                <w:vertAlign w:val="baseline"/>
                <w:lang w:val="en-US" w:eastAsia="zh-CN"/>
              </w:rPr>
              <w:t xml:space="preserve">    </w:t>
            </w:r>
            <w:r>
              <w:rPr>
                <w:rFonts w:hint="default" w:ascii="Times New Roman" w:hAnsi="Times New Roman" w:eastAsia="仿宋_GB2312" w:cs="Times New Roman"/>
                <w:sz w:val="32"/>
                <w:szCs w:val="32"/>
                <w:vertAlign w:val="baseline"/>
                <w:lang w:val="en-US" w:eastAsia="zh-CN"/>
              </w:rPr>
              <w:t>物业公司</w:t>
            </w:r>
          </w:p>
        </w:tc>
      </w:tr>
      <w:tr w14:paraId="07DD3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9" w:hRule="atLeast"/>
        </w:trPr>
        <w:tc>
          <w:tcPr>
            <w:tcW w:w="1576" w:type="dxa"/>
            <w:noWrap w:val="0"/>
            <w:vAlign w:val="center"/>
          </w:tcPr>
          <w:p w14:paraId="1D7FD85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sz w:val="32"/>
                <w:szCs w:val="32"/>
                <w:vertAlign w:val="baseline"/>
                <w:lang w:val="en-US" w:eastAsia="zh-CN"/>
              </w:rPr>
            </w:pPr>
            <w:r>
              <w:rPr>
                <w:rFonts w:hint="default" w:ascii="Times New Roman" w:hAnsi="Times New Roman" w:eastAsia="黑体" w:cs="Times New Roman"/>
                <w:sz w:val="32"/>
                <w:szCs w:val="32"/>
                <w:vertAlign w:val="baseline"/>
                <w:lang w:val="en-US" w:eastAsia="zh-CN"/>
              </w:rPr>
              <w:t>投诉分类</w:t>
            </w:r>
          </w:p>
        </w:tc>
        <w:tc>
          <w:tcPr>
            <w:tcW w:w="2393" w:type="dxa"/>
            <w:noWrap w:val="0"/>
            <w:vAlign w:val="top"/>
          </w:tcPr>
          <w:p w14:paraId="236551B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vertAlign w:val="baseline"/>
                <w:lang w:val="en-US" w:eastAsia="zh-CN"/>
              </w:rPr>
            </w:pPr>
            <w:r>
              <w:rPr>
                <w:rFonts w:hint="default" w:ascii="Times New Roman" w:hAnsi="Times New Roman" w:eastAsia="仿宋_GB2312" w:cs="Times New Roman"/>
                <w:sz w:val="32"/>
                <w:szCs w:val="32"/>
                <w:vertAlign w:val="baseline"/>
              </w:rPr>
              <w:sym w:font="Wingdings 2" w:char="00A3"/>
            </w:r>
            <w:r>
              <w:rPr>
                <w:rFonts w:hint="default" w:ascii="Times New Roman" w:hAnsi="Times New Roman" w:eastAsia="仿宋_GB2312" w:cs="Times New Roman"/>
                <w:sz w:val="32"/>
                <w:szCs w:val="32"/>
                <w:vertAlign w:val="baseline"/>
                <w:lang w:val="en-US" w:eastAsia="zh-CN"/>
              </w:rPr>
              <w:t>紧急类事项</w:t>
            </w:r>
          </w:p>
          <w:p w14:paraId="259B30F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vertAlign w:val="baseline"/>
                <w:lang w:val="en-US" w:eastAsia="zh-CN"/>
              </w:rPr>
            </w:pPr>
            <w:r>
              <w:rPr>
                <w:rFonts w:hint="default" w:ascii="Times New Roman" w:hAnsi="Times New Roman" w:eastAsia="仿宋_GB2312" w:cs="Times New Roman"/>
                <w:sz w:val="32"/>
                <w:szCs w:val="32"/>
                <w:vertAlign w:val="baseline"/>
                <w:lang w:val="en-US" w:eastAsia="zh-CN"/>
              </w:rPr>
              <w:sym w:font="Wingdings 2" w:char="00A3"/>
            </w:r>
            <w:r>
              <w:rPr>
                <w:rFonts w:hint="default" w:ascii="Times New Roman" w:hAnsi="Times New Roman" w:eastAsia="仿宋_GB2312" w:cs="Times New Roman"/>
                <w:sz w:val="32"/>
                <w:szCs w:val="32"/>
                <w:vertAlign w:val="baseline"/>
                <w:lang w:val="en-US" w:eastAsia="zh-CN"/>
              </w:rPr>
              <w:t>普通类事项</w:t>
            </w:r>
          </w:p>
        </w:tc>
        <w:tc>
          <w:tcPr>
            <w:tcW w:w="5340" w:type="dxa"/>
            <w:gridSpan w:val="2"/>
            <w:noWrap w:val="0"/>
            <w:vAlign w:val="top"/>
          </w:tcPr>
          <w:p w14:paraId="5224F918">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vertAlign w:val="baseline"/>
                <w:lang w:val="en-US" w:eastAsia="zh-CN"/>
              </w:rPr>
            </w:pPr>
            <w:r>
              <w:rPr>
                <w:rFonts w:hint="default" w:ascii="Times New Roman" w:hAnsi="Times New Roman" w:eastAsia="仿宋_GB2312" w:cs="Times New Roman"/>
                <w:b/>
                <w:bCs/>
                <w:sz w:val="32"/>
                <w:szCs w:val="32"/>
                <w:vertAlign w:val="baseline"/>
                <w:lang w:val="en-US" w:eastAsia="zh-CN"/>
              </w:rPr>
              <w:t>答复期限：</w:t>
            </w:r>
          </w:p>
          <w:p w14:paraId="3CD5B0C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vertAlign w:val="baseline"/>
                <w:lang w:val="en-US" w:eastAsia="zh-CN"/>
              </w:rPr>
            </w:pPr>
            <w:r>
              <w:rPr>
                <w:rFonts w:hint="default" w:ascii="Times New Roman" w:hAnsi="Times New Roman" w:eastAsia="仿宋_GB2312" w:cs="Times New Roman"/>
                <w:sz w:val="32"/>
                <w:szCs w:val="32"/>
                <w:vertAlign w:val="baseline"/>
                <w:lang w:val="en-US" w:eastAsia="zh-CN"/>
              </w:rPr>
              <w:t>限于</w:t>
            </w:r>
            <w:r>
              <w:rPr>
                <w:rFonts w:hint="default" w:ascii="Times New Roman" w:hAnsi="Times New Roman" w:eastAsia="仿宋_GB2312" w:cs="Times New Roman"/>
                <w:sz w:val="32"/>
                <w:szCs w:val="32"/>
                <w:u w:val="single"/>
                <w:vertAlign w:val="baseline"/>
                <w:lang w:val="en-US" w:eastAsia="zh-CN"/>
              </w:rPr>
              <w:t xml:space="preserve">   </w:t>
            </w:r>
            <w:r>
              <w:rPr>
                <w:rFonts w:hint="default" w:ascii="Times New Roman" w:hAnsi="Times New Roman" w:eastAsia="仿宋_GB2312" w:cs="Times New Roman"/>
                <w:sz w:val="32"/>
                <w:szCs w:val="32"/>
                <w:vertAlign w:val="baseline"/>
                <w:lang w:val="en-US" w:eastAsia="zh-CN"/>
              </w:rPr>
              <w:t>月</w:t>
            </w:r>
            <w:r>
              <w:rPr>
                <w:rFonts w:hint="default" w:ascii="Times New Roman" w:hAnsi="Times New Roman" w:eastAsia="仿宋_GB2312" w:cs="Times New Roman"/>
                <w:sz w:val="32"/>
                <w:szCs w:val="32"/>
                <w:u w:val="single"/>
                <w:vertAlign w:val="baseline"/>
                <w:lang w:val="en-US" w:eastAsia="zh-CN"/>
              </w:rPr>
              <w:t xml:space="preserve">   </w:t>
            </w:r>
            <w:r>
              <w:rPr>
                <w:rFonts w:hint="default" w:ascii="Times New Roman" w:hAnsi="Times New Roman" w:eastAsia="仿宋_GB2312" w:cs="Times New Roman"/>
                <w:sz w:val="32"/>
                <w:szCs w:val="32"/>
                <w:vertAlign w:val="baseline"/>
                <w:lang w:val="en-US" w:eastAsia="zh-CN"/>
              </w:rPr>
              <w:t>日</w:t>
            </w:r>
            <w:r>
              <w:rPr>
                <w:rFonts w:hint="default" w:ascii="Times New Roman" w:hAnsi="Times New Roman" w:eastAsia="仿宋_GB2312" w:cs="Times New Roman"/>
                <w:sz w:val="32"/>
                <w:szCs w:val="32"/>
                <w:u w:val="single"/>
                <w:vertAlign w:val="baseline"/>
                <w:lang w:val="en-US" w:eastAsia="zh-CN"/>
              </w:rPr>
              <w:t xml:space="preserve">   </w:t>
            </w:r>
            <w:r>
              <w:rPr>
                <w:rFonts w:hint="default" w:ascii="Times New Roman" w:hAnsi="Times New Roman" w:eastAsia="仿宋_GB2312" w:cs="Times New Roman"/>
                <w:sz w:val="32"/>
                <w:szCs w:val="32"/>
                <w:vertAlign w:val="baseline"/>
                <w:lang w:val="en-US" w:eastAsia="zh-CN"/>
              </w:rPr>
              <w:t>点前办理并答复</w:t>
            </w:r>
          </w:p>
        </w:tc>
      </w:tr>
      <w:tr w14:paraId="70F78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4" w:hRule="atLeast"/>
        </w:trPr>
        <w:tc>
          <w:tcPr>
            <w:tcW w:w="1576" w:type="dxa"/>
            <w:noWrap w:val="0"/>
            <w:vAlign w:val="center"/>
          </w:tcPr>
          <w:p w14:paraId="5FB8E32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sz w:val="32"/>
                <w:szCs w:val="32"/>
                <w:vertAlign w:val="baseline"/>
                <w:lang w:val="en-US" w:eastAsia="zh-CN"/>
              </w:rPr>
            </w:pPr>
            <w:r>
              <w:rPr>
                <w:rFonts w:hint="default" w:ascii="Times New Roman" w:hAnsi="Times New Roman" w:eastAsia="黑体" w:cs="Times New Roman"/>
                <w:sz w:val="32"/>
                <w:szCs w:val="32"/>
                <w:vertAlign w:val="baseline"/>
                <w:lang w:val="en-US" w:eastAsia="zh-CN"/>
              </w:rPr>
              <w:t>投诉内容</w:t>
            </w:r>
          </w:p>
        </w:tc>
        <w:tc>
          <w:tcPr>
            <w:tcW w:w="7733" w:type="dxa"/>
            <w:gridSpan w:val="3"/>
            <w:noWrap w:val="0"/>
            <w:vAlign w:val="top"/>
          </w:tcPr>
          <w:p w14:paraId="02E9D17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vertAlign w:val="baseline"/>
              </w:rPr>
            </w:pPr>
          </w:p>
        </w:tc>
      </w:tr>
      <w:tr w14:paraId="77D1D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9" w:hRule="atLeast"/>
        </w:trPr>
        <w:tc>
          <w:tcPr>
            <w:tcW w:w="1576" w:type="dxa"/>
            <w:noWrap w:val="0"/>
            <w:vAlign w:val="center"/>
          </w:tcPr>
          <w:p w14:paraId="062C251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sz w:val="32"/>
                <w:szCs w:val="32"/>
                <w:vertAlign w:val="baseline"/>
                <w:lang w:val="en-US" w:eastAsia="zh-CN"/>
              </w:rPr>
            </w:pPr>
            <w:r>
              <w:rPr>
                <w:rFonts w:hint="default" w:ascii="Times New Roman" w:hAnsi="Times New Roman" w:eastAsia="黑体" w:cs="Times New Roman"/>
                <w:sz w:val="32"/>
                <w:szCs w:val="32"/>
                <w:vertAlign w:val="baseline"/>
                <w:lang w:val="en-US" w:eastAsia="zh-CN"/>
              </w:rPr>
              <w:t>物业企业调查处理情况</w:t>
            </w:r>
          </w:p>
        </w:tc>
        <w:tc>
          <w:tcPr>
            <w:tcW w:w="7733" w:type="dxa"/>
            <w:gridSpan w:val="3"/>
            <w:noWrap w:val="0"/>
            <w:vAlign w:val="top"/>
          </w:tcPr>
          <w:p w14:paraId="0DA9D70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cs="Times New Roman"/>
                <w:color w:val="FF0000"/>
                <w:sz w:val="24"/>
                <w:szCs w:val="24"/>
                <w:lang w:val="en-US" w:eastAsia="zh-CN"/>
              </w:rPr>
            </w:pPr>
            <w:r>
              <w:rPr>
                <w:rFonts w:hint="eastAsia" w:eastAsia="宋体" w:cs="Times New Roman"/>
                <w:color w:val="FF0000"/>
                <w:sz w:val="24"/>
                <w:szCs w:val="24"/>
                <w:lang w:val="en-US" w:eastAsia="zh-CN"/>
              </w:rPr>
              <w:t>“12345”市长热线转交问题在此表内直接填写处理情况。</w:t>
            </w:r>
          </w:p>
          <w:p w14:paraId="13676CC9">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vertAlign w:val="baseline"/>
                <w:lang w:val="en-US"/>
              </w:rPr>
            </w:pPr>
            <w:r>
              <w:rPr>
                <w:rFonts w:hint="eastAsia" w:eastAsia="宋体" w:cs="Times New Roman"/>
                <w:color w:val="FF0000"/>
                <w:sz w:val="24"/>
                <w:szCs w:val="24"/>
                <w:lang w:val="en-US" w:eastAsia="zh-CN"/>
              </w:rPr>
              <w:t>“人民网”等督考一体化平台信访投诉问题按照附件2模板进行上报。</w:t>
            </w:r>
          </w:p>
        </w:tc>
      </w:tr>
      <w:tr w14:paraId="06595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576" w:type="dxa"/>
            <w:noWrap w:val="0"/>
            <w:vAlign w:val="center"/>
          </w:tcPr>
          <w:p w14:paraId="6D731F4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sz w:val="32"/>
                <w:szCs w:val="32"/>
                <w:vertAlign w:val="baseline"/>
                <w:lang w:val="en-US" w:eastAsia="zh-CN"/>
              </w:rPr>
            </w:pPr>
            <w:r>
              <w:rPr>
                <w:rFonts w:hint="default" w:ascii="Times New Roman" w:hAnsi="Times New Roman" w:eastAsia="黑体" w:cs="Times New Roman"/>
                <w:sz w:val="32"/>
                <w:szCs w:val="32"/>
                <w:vertAlign w:val="baseline"/>
                <w:lang w:val="en-US" w:eastAsia="zh-CN"/>
              </w:rPr>
              <w:t>回访情况</w:t>
            </w:r>
          </w:p>
        </w:tc>
        <w:tc>
          <w:tcPr>
            <w:tcW w:w="7733" w:type="dxa"/>
            <w:gridSpan w:val="3"/>
            <w:noWrap w:val="0"/>
            <w:vAlign w:val="center"/>
          </w:tcPr>
          <w:p w14:paraId="6FF3EC0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vertAlign w:val="baseline"/>
                <w:lang w:val="en-US" w:eastAsia="zh-CN"/>
              </w:rPr>
            </w:pPr>
            <w:r>
              <w:rPr>
                <w:rFonts w:hint="default" w:ascii="Times New Roman" w:hAnsi="Times New Roman" w:eastAsia="仿宋_GB2312" w:cs="Times New Roman"/>
                <w:sz w:val="32"/>
                <w:szCs w:val="32"/>
                <w:vertAlign w:val="baseline"/>
              </w:rPr>
              <w:sym w:font="Wingdings 2" w:char="00A3"/>
            </w:r>
            <w:r>
              <w:rPr>
                <w:rFonts w:hint="default" w:ascii="Times New Roman" w:hAnsi="Times New Roman" w:eastAsia="仿宋_GB2312" w:cs="Times New Roman"/>
                <w:sz w:val="32"/>
                <w:szCs w:val="32"/>
                <w:vertAlign w:val="baseline"/>
                <w:lang w:val="en-US" w:eastAsia="zh-CN"/>
              </w:rPr>
              <w:t xml:space="preserve">满意             </w:t>
            </w:r>
            <w:r>
              <w:rPr>
                <w:rFonts w:hint="default" w:ascii="Times New Roman" w:hAnsi="Times New Roman" w:eastAsia="仿宋_GB2312" w:cs="Times New Roman"/>
                <w:sz w:val="32"/>
                <w:szCs w:val="32"/>
                <w:vertAlign w:val="baseline"/>
              </w:rPr>
              <w:sym w:font="Wingdings 2" w:char="00A3"/>
            </w:r>
            <w:r>
              <w:rPr>
                <w:rFonts w:hint="default" w:ascii="Times New Roman" w:hAnsi="Times New Roman" w:eastAsia="仿宋_GB2312" w:cs="Times New Roman"/>
                <w:sz w:val="32"/>
                <w:szCs w:val="32"/>
                <w:vertAlign w:val="baseline"/>
                <w:lang w:val="en-US" w:eastAsia="zh-CN"/>
              </w:rPr>
              <w:t>不满意</w:t>
            </w:r>
          </w:p>
        </w:tc>
      </w:tr>
    </w:tbl>
    <w:p w14:paraId="2D03C63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0CFE8BC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黑体" w:cs="Times New Roman"/>
          <w:b w:val="0"/>
          <w:i w:val="0"/>
          <w:caps w:val="0"/>
          <w:color w:val="auto"/>
          <w:spacing w:val="0"/>
          <w:w w:val="100"/>
          <w:kern w:val="0"/>
          <w:sz w:val="32"/>
          <w:szCs w:val="32"/>
          <w:lang w:val="en-US" w:eastAsia="zh-CN"/>
        </w:rPr>
      </w:pPr>
      <w:r>
        <w:rPr>
          <w:rFonts w:hint="default" w:ascii="Times New Roman" w:hAnsi="Times New Roman" w:eastAsia="黑体" w:cs="Times New Roman"/>
          <w:b w:val="0"/>
          <w:i w:val="0"/>
          <w:caps w:val="0"/>
          <w:color w:val="auto"/>
          <w:spacing w:val="0"/>
          <w:w w:val="100"/>
          <w:kern w:val="0"/>
          <w:sz w:val="32"/>
          <w:szCs w:val="32"/>
          <w:lang w:val="en-US" w:eastAsia="zh-CN"/>
        </w:rPr>
        <w:t>附件</w:t>
      </w:r>
      <w:r>
        <w:rPr>
          <w:rFonts w:hint="eastAsia" w:ascii="Times New Roman" w:hAnsi="Times New Roman" w:eastAsia="黑体" w:cs="Times New Roman"/>
          <w:b w:val="0"/>
          <w:i w:val="0"/>
          <w:caps w:val="0"/>
          <w:color w:val="auto"/>
          <w:spacing w:val="0"/>
          <w:w w:val="100"/>
          <w:kern w:val="0"/>
          <w:sz w:val="32"/>
          <w:szCs w:val="32"/>
          <w:lang w:val="en-US" w:eastAsia="zh-CN"/>
        </w:rPr>
        <w:t>2</w:t>
      </w:r>
      <w:r>
        <w:rPr>
          <w:rFonts w:hint="default" w:ascii="Times New Roman" w:hAnsi="Times New Roman" w:eastAsia="黑体" w:cs="Times New Roman"/>
          <w:b w:val="0"/>
          <w:i w:val="0"/>
          <w:caps w:val="0"/>
          <w:color w:val="auto"/>
          <w:spacing w:val="0"/>
          <w:w w:val="100"/>
          <w:kern w:val="0"/>
          <w:sz w:val="32"/>
          <w:szCs w:val="32"/>
          <w:lang w:val="en-US" w:eastAsia="zh-CN"/>
        </w:rPr>
        <w:t>：</w:t>
      </w:r>
      <w:r>
        <w:rPr>
          <w:rFonts w:hint="eastAsia" w:ascii="Times New Roman" w:hAnsi="Times New Roman" w:eastAsia="黑体" w:cs="Times New Roman"/>
          <w:b w:val="0"/>
          <w:i w:val="0"/>
          <w:caps w:val="0"/>
          <w:color w:val="auto"/>
          <w:spacing w:val="0"/>
          <w:w w:val="100"/>
          <w:kern w:val="0"/>
          <w:sz w:val="32"/>
          <w:szCs w:val="32"/>
          <w:lang w:val="en-US" w:eastAsia="zh-CN"/>
        </w:rPr>
        <w:t>“人民网”等督考一体化信访投诉平台答复模板</w:t>
      </w:r>
    </w:p>
    <w:p w14:paraId="497CA3A8">
      <w:pPr>
        <w:pStyle w:val="3"/>
        <w:keepNext w:val="0"/>
        <w:keepLines w:val="0"/>
        <w:pageBreakBefore w:val="0"/>
        <w:widowControl w:val="0"/>
        <w:kinsoku/>
        <w:wordWrap/>
        <w:overflowPunct/>
        <w:topLinePunct w:val="0"/>
        <w:bidi w:val="0"/>
        <w:rPr>
          <w:rFonts w:hint="eastAsia" w:ascii="Times New Roman" w:hAnsi="Times New Roman" w:eastAsia="黑体" w:cs="Times New Roman"/>
          <w:b w:val="0"/>
          <w:i w:val="0"/>
          <w:caps w:val="0"/>
          <w:color w:val="auto"/>
          <w:spacing w:val="0"/>
          <w:w w:val="100"/>
          <w:kern w:val="0"/>
          <w:sz w:val="32"/>
          <w:szCs w:val="32"/>
          <w:lang w:val="en-US" w:eastAsia="zh-CN"/>
        </w:rPr>
      </w:pPr>
    </w:p>
    <w:p w14:paraId="487A49E4">
      <w:pPr>
        <w:pStyle w:val="3"/>
        <w:keepNext w:val="0"/>
        <w:keepLines w:val="0"/>
        <w:pageBreakBefore w:val="0"/>
        <w:widowControl w:val="0"/>
        <w:kinsoku/>
        <w:wordWrap/>
        <w:overflowPunct/>
        <w:topLinePunct w:val="0"/>
        <w:bidi w:val="0"/>
        <w:rPr>
          <w:rFonts w:hint="eastAsia" w:ascii="Times New Roman" w:hAnsi="Times New Roman" w:eastAsia="黑体" w:cs="Times New Roman"/>
          <w:b w:val="0"/>
          <w:i w:val="0"/>
          <w:caps w:val="0"/>
          <w:color w:val="auto"/>
          <w:spacing w:val="0"/>
          <w:w w:val="100"/>
          <w:kern w:val="0"/>
          <w:sz w:val="32"/>
          <w:szCs w:val="32"/>
          <w:lang w:val="en-US" w:eastAsia="zh-CN"/>
        </w:rPr>
      </w:pPr>
    </w:p>
    <w:p w14:paraId="2126461B">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小标宋简体" w:eastAsia="方正小标宋简体"/>
          <w:sz w:val="44"/>
          <w:szCs w:val="44"/>
          <w:lang w:val="en-US" w:eastAsia="zh-CN"/>
        </w:rPr>
      </w:pPr>
      <w:r>
        <w:rPr>
          <w:rFonts w:hint="eastAsia" w:ascii="方正小标宋简体" w:eastAsia="方正小标宋简体"/>
          <w:sz w:val="44"/>
          <w:szCs w:val="44"/>
          <w:lang w:val="en-US" w:eastAsia="zh-CN"/>
        </w:rPr>
        <w:t>***物业公司</w:t>
      </w:r>
    </w:p>
    <w:p w14:paraId="182F7DBC">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kern w:val="2"/>
          <w:sz w:val="44"/>
          <w:szCs w:val="44"/>
          <w:lang w:val="en-US" w:eastAsia="zh-CN" w:bidi="ar"/>
        </w:rPr>
      </w:pPr>
      <w:r>
        <w:rPr>
          <w:rFonts w:hint="eastAsia" w:ascii="方正小标宋简体" w:eastAsia="方正小标宋简体"/>
          <w:sz w:val="44"/>
          <w:szCs w:val="44"/>
          <w:lang w:val="en-US" w:eastAsia="zh-CN"/>
        </w:rPr>
        <w:t>关于***相关问</w:t>
      </w:r>
      <w:r>
        <w:rPr>
          <w:rFonts w:hint="eastAsia" w:ascii="方正小标宋简体" w:hAnsi="方正小标宋简体" w:eastAsia="方正小标宋简体" w:cs="方正小标宋简体"/>
          <w:kern w:val="2"/>
          <w:sz w:val="44"/>
          <w:szCs w:val="44"/>
          <w:lang w:val="en-US" w:eastAsia="zh-CN" w:bidi="ar"/>
        </w:rPr>
        <w:t>题办理情况的报告</w:t>
      </w:r>
    </w:p>
    <w:p w14:paraId="5CC31E0A">
      <w:pPr>
        <w:pStyle w:val="3"/>
        <w:keepNext w:val="0"/>
        <w:keepLines w:val="0"/>
        <w:pageBreakBefore w:val="0"/>
        <w:widowControl w:val="0"/>
        <w:kinsoku/>
        <w:wordWrap/>
        <w:overflowPunct/>
        <w:topLinePunct w:val="0"/>
        <w:bidi w:val="0"/>
        <w:rPr>
          <w:rFonts w:hint="eastAsia" w:ascii="Times New Roman" w:hAnsi="Times New Roman" w:eastAsia="黑体" w:cs="Times New Roman"/>
          <w:b w:val="0"/>
          <w:i w:val="0"/>
          <w:caps w:val="0"/>
          <w:color w:val="auto"/>
          <w:spacing w:val="0"/>
          <w:w w:val="100"/>
          <w:kern w:val="0"/>
          <w:sz w:val="32"/>
          <w:szCs w:val="32"/>
          <w:lang w:val="en-US" w:eastAsia="zh-CN"/>
        </w:rPr>
      </w:pPr>
    </w:p>
    <w:p w14:paraId="72DB6696">
      <w:pPr>
        <w:pStyle w:val="3"/>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区城乡物业服务中心：</w:t>
      </w:r>
    </w:p>
    <w:p w14:paraId="718C003B">
      <w:pPr>
        <w:pStyle w:val="2"/>
        <w:keepNext w:val="0"/>
        <w:keepLines w:val="0"/>
        <w:pageBreakBefore w:val="0"/>
        <w:kinsoku/>
        <w:wordWrap/>
        <w:overflowPunct/>
        <w:topLinePunct w:val="0"/>
        <w:autoSpaceDE/>
        <w:autoSpaceDN/>
        <w:bidi w:val="0"/>
        <w:adjustRightInd/>
        <w:snapToGrid/>
        <w:spacing w:beforeAutospacing="0" w:afterAutospacing="0" w:line="480" w:lineRule="exact"/>
        <w:ind w:firstLine="640" w:firstLineChars="200"/>
        <w:jc w:val="left"/>
        <w:textAlignment w:val="auto"/>
        <w:rPr>
          <w:rFonts w:hint="default" w:ascii="仿宋_GB2312" w:hAnsi="方正小标宋简体" w:eastAsia="仿宋_GB2312" w:cs="方正小标宋简体"/>
          <w:color w:val="000000"/>
          <w:kern w:val="0"/>
          <w:sz w:val="32"/>
          <w:szCs w:val="32"/>
          <w:lang w:val="en-US" w:eastAsia="zh-CN"/>
        </w:rPr>
      </w:pPr>
      <w:r>
        <w:rPr>
          <w:rFonts w:hint="eastAsia" w:ascii="仿宋_GB2312" w:hAnsi="仿宋_GB2312" w:eastAsia="仿宋_GB2312" w:cs="仿宋_GB2312"/>
          <w:sz w:val="32"/>
          <w:szCs w:val="32"/>
        </w:rPr>
        <w:t>你</w:t>
      </w:r>
      <w:r>
        <w:rPr>
          <w:rFonts w:hint="eastAsia" w:ascii="仿宋_GB2312" w:hAnsi="仿宋_GB2312" w:eastAsia="仿宋_GB2312" w:cs="仿宋_GB2312"/>
          <w:sz w:val="32"/>
          <w:szCs w:val="32"/>
          <w:lang w:val="en-US" w:eastAsia="zh-CN"/>
        </w:rPr>
        <w:t>中心</w:t>
      </w:r>
      <w:r>
        <w:rPr>
          <w:rFonts w:hint="eastAsia" w:ascii="仿宋_GB2312" w:hAnsi="仿宋_GB2312" w:eastAsia="仿宋_GB2312" w:cs="仿宋_GB2312"/>
          <w:sz w:val="32"/>
          <w:szCs w:val="32"/>
        </w:rPr>
        <w:t>转来</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***相关问题”</w:t>
      </w:r>
      <w:r>
        <w:rPr>
          <w:rFonts w:hint="eastAsia" w:ascii="仿宋_GB2312" w:hAnsi="仿宋_GB2312" w:eastAsia="仿宋_GB2312" w:cs="仿宋_GB2312"/>
          <w:sz w:val="32"/>
          <w:szCs w:val="32"/>
        </w:rPr>
        <w:t>的</w:t>
      </w:r>
      <w:r>
        <w:rPr>
          <w:rFonts w:hint="eastAsia" w:ascii="仿宋_GB2312" w:hAnsi="仿宋_GB2312" w:eastAsia="仿宋_GB2312" w:cs="仿宋_GB2312"/>
          <w:sz w:val="32"/>
          <w:szCs w:val="32"/>
          <w:lang w:eastAsia="zh-CN"/>
        </w:rPr>
        <w:t>交</w:t>
      </w:r>
      <w:r>
        <w:rPr>
          <w:rFonts w:hint="eastAsia" w:ascii="仿宋_GB2312" w:hAnsi="仿宋_GB2312" w:eastAsia="仿宋_GB2312" w:cs="仿宋_GB2312"/>
          <w:color w:val="000000"/>
          <w:kern w:val="0"/>
          <w:sz w:val="32"/>
          <w:szCs w:val="32"/>
        </w:rPr>
        <w:t>办通知收</w:t>
      </w:r>
      <w:r>
        <w:rPr>
          <w:rFonts w:hint="eastAsia" w:ascii="仿宋_GB2312" w:hAnsi="仿宋_GB2312" w:eastAsia="仿宋_GB2312" w:cs="仿宋_GB2312"/>
          <w:sz w:val="32"/>
          <w:szCs w:val="32"/>
        </w:rPr>
        <w:t>悉，我</w:t>
      </w:r>
      <w:r>
        <w:rPr>
          <w:rFonts w:hint="eastAsia" w:ascii="仿宋_GB2312" w:hAnsi="仿宋_GB2312" w:eastAsia="仿宋_GB2312" w:cs="仿宋_GB2312"/>
          <w:sz w:val="32"/>
          <w:szCs w:val="32"/>
          <w:lang w:val="en-US" w:eastAsia="zh-CN"/>
        </w:rPr>
        <w:t>公司</w:t>
      </w:r>
      <w:r>
        <w:rPr>
          <w:rFonts w:hint="eastAsia" w:ascii="仿宋_GB2312" w:hAnsi="仿宋_GB2312" w:eastAsia="仿宋_GB2312" w:cs="仿宋_GB2312"/>
          <w:sz w:val="32"/>
          <w:szCs w:val="32"/>
        </w:rPr>
        <w:t>高度重视，指派专人对信访人所反映的问题进行了认真调查，现将</w:t>
      </w:r>
      <w:r>
        <w:rPr>
          <w:rFonts w:hint="eastAsia" w:ascii="仿宋_GB2312" w:hAnsi="仿宋_GB2312" w:eastAsia="仿宋_GB2312" w:cs="仿宋_GB2312"/>
          <w:sz w:val="32"/>
          <w:szCs w:val="32"/>
          <w:lang w:val="en-US" w:eastAsia="zh-CN"/>
        </w:rPr>
        <w:t>具体情况报告</w:t>
      </w:r>
      <w:r>
        <w:rPr>
          <w:rFonts w:hint="eastAsia" w:ascii="仿宋_GB2312" w:hAnsi="仿宋_GB2312" w:eastAsia="仿宋_GB2312" w:cs="仿宋_GB2312"/>
          <w:sz w:val="32"/>
          <w:szCs w:val="32"/>
        </w:rPr>
        <w:t>如下：</w:t>
      </w:r>
    </w:p>
    <w:p w14:paraId="4AD79A02">
      <w:pPr>
        <w:keepNext w:val="0"/>
        <w:keepLines w:val="0"/>
        <w:pageBreakBefore w:val="0"/>
        <w:widowControl/>
        <w:kinsoku/>
        <w:wordWrap/>
        <w:overflowPunct/>
        <w:topLinePunct w:val="0"/>
        <w:autoSpaceDE/>
        <w:autoSpaceDN/>
        <w:bidi w:val="0"/>
        <w:adjustRightInd/>
        <w:snapToGrid/>
        <w:spacing w:beforeAutospacing="0" w:afterAutospacing="0" w:line="48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一、基本情况</w:t>
      </w:r>
    </w:p>
    <w:p w14:paraId="64CFE5B4">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***小区，位于***位置，建设单位为***公司，于***年***月建设完成，建设住宅***栋，房屋***套，现有住户***户，由***物业公司提供物业服务。</w:t>
      </w:r>
    </w:p>
    <w:p w14:paraId="68BA65DD">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ind w:firstLine="640" w:firstLineChars="200"/>
        <w:jc w:val="left"/>
        <w:textAlignment w:val="auto"/>
        <w:rPr>
          <w:rFonts w:hint="default" w:ascii="黑体" w:hAnsi="黑体" w:eastAsia="黑体" w:cs="黑体"/>
          <w:kern w:val="2"/>
          <w:sz w:val="32"/>
          <w:szCs w:val="32"/>
          <w:lang w:val="en-US" w:eastAsia="zh-CN" w:bidi="ar"/>
        </w:rPr>
      </w:pPr>
      <w:r>
        <w:rPr>
          <w:rFonts w:hint="eastAsia" w:ascii="黑体" w:hAnsi="黑体" w:eastAsia="黑体" w:cs="黑体"/>
          <w:kern w:val="2"/>
          <w:sz w:val="32"/>
          <w:szCs w:val="32"/>
          <w:lang w:val="en-US" w:eastAsia="zh-CN" w:bidi="ar"/>
        </w:rPr>
        <w:t>二、反映的问题</w:t>
      </w:r>
    </w:p>
    <w:p w14:paraId="00049107">
      <w:pPr>
        <w:pStyle w:val="3"/>
        <w:keepNext w:val="0"/>
        <w:keepLines w:val="0"/>
        <w:pageBreakBefore w:val="0"/>
        <w:widowControl w:val="0"/>
        <w:kinsoku/>
        <w:wordWrap/>
        <w:overflowPunct/>
        <w:topLinePunct w:val="0"/>
        <w:autoSpaceDE/>
        <w:autoSpaceDN/>
        <w:bidi w:val="0"/>
        <w:adjustRightInd/>
        <w:snapToGrid w:val="0"/>
        <w:spacing w:line="480" w:lineRule="exact"/>
        <w:ind w:firstLine="640" w:firstLineChars="200"/>
        <w:textAlignment w:val="auto"/>
        <w:rPr>
          <w:rFonts w:hint="eastAsia" w:ascii="仿宋_GB2312" w:eastAsia="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将信访人反映的具体问题分类梳理书写：如1....；2....；</w:t>
      </w:r>
    </w:p>
    <w:p w14:paraId="1B9AD146">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ind w:firstLine="640" w:firstLineChars="200"/>
        <w:jc w:val="lef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三、核查办理情况</w:t>
      </w:r>
    </w:p>
    <w:p w14:paraId="553AC140">
      <w:pPr>
        <w:pStyle w:val="3"/>
        <w:keepNext w:val="0"/>
        <w:keepLines w:val="0"/>
        <w:pageBreakBefore w:val="0"/>
        <w:widowControl w:val="0"/>
        <w:kinsoku/>
        <w:wordWrap/>
        <w:overflowPunct/>
        <w:topLinePunct w:val="0"/>
        <w:autoSpaceDE/>
        <w:autoSpaceDN/>
        <w:bidi w:val="0"/>
        <w:adjustRightInd/>
        <w:snapToGrid w:val="0"/>
        <w:spacing w:line="480" w:lineRule="exact"/>
        <w:ind w:firstLine="640" w:firstLineChars="200"/>
        <w:textAlignment w:val="auto"/>
        <w:rPr>
          <w:rFonts w:hint="eastAsia" w:ascii="仿宋_GB2312" w:eastAsia="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一是针对信访反映的***问题，经核查，***</w:t>
      </w:r>
    </w:p>
    <w:p w14:paraId="21B32D95">
      <w:pPr>
        <w:pStyle w:val="3"/>
        <w:keepNext w:val="0"/>
        <w:keepLines w:val="0"/>
        <w:pageBreakBefore w:val="0"/>
        <w:widowControl w:val="0"/>
        <w:kinsoku/>
        <w:wordWrap/>
        <w:overflowPunct/>
        <w:topLinePunct w:val="0"/>
        <w:autoSpaceDE/>
        <w:autoSpaceDN/>
        <w:bidi w:val="0"/>
        <w:adjustRightInd/>
        <w:snapToGrid w:val="0"/>
        <w:spacing w:line="480" w:lineRule="exact"/>
        <w:ind w:firstLine="640" w:firstLineChars="200"/>
        <w:textAlignment w:val="auto"/>
        <w:rPr>
          <w:rFonts w:hint="eastAsia" w:ascii="仿宋_GB2312" w:eastAsia="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二是针对信访反映的***问题，经核查，***</w:t>
      </w:r>
    </w:p>
    <w:p w14:paraId="4FC348E5">
      <w:pPr>
        <w:pStyle w:val="3"/>
        <w:keepNext w:val="0"/>
        <w:keepLines w:val="0"/>
        <w:pageBreakBefore w:val="0"/>
        <w:widowControl w:val="0"/>
        <w:kinsoku/>
        <w:wordWrap/>
        <w:overflowPunct/>
        <w:topLinePunct w:val="0"/>
        <w:autoSpaceDE/>
        <w:autoSpaceDN/>
        <w:bidi w:val="0"/>
        <w:adjustRightInd/>
        <w:snapToGrid w:val="0"/>
        <w:spacing w:line="480" w:lineRule="exact"/>
        <w:ind w:firstLine="640" w:firstLineChars="200"/>
        <w:textAlignment w:val="auto"/>
        <w:rPr>
          <w:rFonts w:hint="eastAsia" w:ascii="仿宋_GB2312" w:eastAsia="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w:t>
      </w:r>
    </w:p>
    <w:p w14:paraId="5428101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黑体" w:hAnsi="黑体" w:eastAsia="黑体" w:cs="黑体"/>
          <w:bCs/>
          <w:sz w:val="32"/>
          <w:szCs w:val="32"/>
          <w:lang w:val="en-US" w:eastAsia="zh-CN"/>
        </w:rPr>
        <w:t>四、</w:t>
      </w:r>
      <w:r>
        <w:rPr>
          <w:rFonts w:hint="eastAsia" w:ascii="黑体" w:hAnsi="黑体" w:eastAsia="黑体" w:cs="黑体"/>
          <w:sz w:val="32"/>
          <w:szCs w:val="32"/>
          <w:lang w:val="en-US" w:eastAsia="zh-CN"/>
        </w:rPr>
        <w:t>与信访人沟通情况</w:t>
      </w:r>
    </w:p>
    <w:p w14:paraId="20CC9655">
      <w:pPr>
        <w:pStyle w:val="3"/>
        <w:keepNext w:val="0"/>
        <w:keepLines w:val="0"/>
        <w:pageBreakBefore w:val="0"/>
        <w:widowControl w:val="0"/>
        <w:kinsoku/>
        <w:wordWrap/>
        <w:overflowPunct/>
        <w:topLinePunct w:val="0"/>
        <w:autoSpaceDE/>
        <w:autoSpaceDN/>
        <w:bidi w:val="0"/>
        <w:adjustRightInd/>
        <w:snapToGrid w:val="0"/>
        <w:spacing w:line="48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***年***月***日，我公司工作人员与信访人进行沟通，向其详细说明处理情况，信访人对处理情况表示***。</w:t>
      </w:r>
    </w:p>
    <w:p w14:paraId="4304644B">
      <w:pPr>
        <w:pStyle w:val="3"/>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仿宋_GB2312" w:hAnsi="仿宋_GB2312" w:eastAsia="仿宋_GB2312" w:cs="仿宋_GB2312"/>
          <w:kern w:val="2"/>
          <w:sz w:val="32"/>
          <w:szCs w:val="32"/>
          <w:lang w:val="en-US" w:eastAsia="zh-CN" w:bidi="ar-SA"/>
        </w:rPr>
      </w:pPr>
    </w:p>
    <w:p w14:paraId="6160AD21">
      <w:pPr>
        <w:pStyle w:val="3"/>
        <w:keepNext w:val="0"/>
        <w:keepLines w:val="0"/>
        <w:pageBreakBefore w:val="0"/>
        <w:widowControl w:val="0"/>
        <w:kinsoku/>
        <w:wordWrap/>
        <w:overflowPunct/>
        <w:topLinePunct w:val="0"/>
        <w:autoSpaceDE/>
        <w:autoSpaceDN/>
        <w:bidi w:val="0"/>
        <w:adjustRightInd/>
        <w:snapToGrid w:val="0"/>
        <w:spacing w:line="500" w:lineRule="exact"/>
        <w:ind w:firstLine="6400" w:firstLineChars="20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***物业公司</w:t>
      </w:r>
    </w:p>
    <w:p w14:paraId="7FBB8EEB">
      <w:pPr>
        <w:pStyle w:val="3"/>
        <w:keepNext w:val="0"/>
        <w:keepLines w:val="0"/>
        <w:pageBreakBefore w:val="0"/>
        <w:widowControl w:val="0"/>
        <w:kinsoku/>
        <w:wordWrap/>
        <w:overflowPunct/>
        <w:topLinePunct w:val="0"/>
        <w:autoSpaceDE/>
        <w:autoSpaceDN/>
        <w:bidi w:val="0"/>
        <w:adjustRightInd/>
        <w:snapToGrid w:val="0"/>
        <w:spacing w:line="500" w:lineRule="exact"/>
        <w:ind w:firstLine="6080" w:firstLineChars="1900"/>
        <w:textAlignment w:val="auto"/>
        <w:rPr>
          <w:rFonts w:hint="eastAsia" w:ascii="仿宋_GB2312" w:hAnsi="仿宋_GB2312" w:eastAsia="仿宋_GB2312" w:cs="仿宋_GB2312"/>
          <w:kern w:val="2"/>
          <w:sz w:val="32"/>
          <w:szCs w:val="32"/>
          <w:lang w:val="en-US" w:eastAsia="zh-CN" w:bidi="ar-SA"/>
        </w:rPr>
        <w:sectPr>
          <w:footerReference r:id="rId3" w:type="default"/>
          <w:pgSz w:w="11906" w:h="16838"/>
          <w:pgMar w:top="2098" w:right="1474" w:bottom="1984" w:left="1587" w:header="851" w:footer="992" w:gutter="0"/>
          <w:pgNumType w:fmt="numberInDash"/>
          <w:cols w:space="720" w:num="1"/>
          <w:docGrid w:type="lines" w:linePitch="312" w:charSpace="0"/>
        </w:sectPr>
      </w:pPr>
      <w:r>
        <w:rPr>
          <w:rFonts w:hint="eastAsia" w:ascii="仿宋_GB2312" w:hAnsi="仿宋_GB2312" w:eastAsia="仿宋_GB2312" w:cs="仿宋_GB2312"/>
          <w:kern w:val="2"/>
          <w:sz w:val="32"/>
          <w:szCs w:val="32"/>
          <w:lang w:val="en-US" w:eastAsia="zh-CN" w:bidi="ar-SA"/>
        </w:rPr>
        <w:t>***年***月***日</w:t>
      </w:r>
    </w:p>
    <w:p w14:paraId="620BEC32">
      <w:pPr>
        <w:pStyle w:val="3"/>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Times New Roman" w:hAnsi="Times New Roman" w:eastAsia="黑体" w:cs="Times New Roman"/>
          <w:b w:val="0"/>
          <w:i w:val="0"/>
          <w:caps w:val="0"/>
          <w:color w:val="auto"/>
          <w:spacing w:val="0"/>
          <w:w w:val="100"/>
          <w:kern w:val="0"/>
          <w:sz w:val="32"/>
          <w:szCs w:val="32"/>
          <w:lang w:val="en-US" w:eastAsia="zh-CN" w:bidi="ar-SA"/>
        </w:rPr>
      </w:pPr>
      <w:r>
        <w:rPr>
          <w:rFonts w:hint="eastAsia" w:ascii="Times New Roman" w:hAnsi="Times New Roman" w:eastAsia="黑体" w:cs="Times New Roman"/>
          <w:b w:val="0"/>
          <w:i w:val="0"/>
          <w:caps w:val="0"/>
          <w:color w:val="auto"/>
          <w:spacing w:val="0"/>
          <w:w w:val="100"/>
          <w:kern w:val="0"/>
          <w:sz w:val="32"/>
          <w:szCs w:val="32"/>
          <w:lang w:val="en-US" w:eastAsia="zh-CN" w:bidi="ar-SA"/>
        </w:rPr>
        <w:t>附件3：行业监管部门转办信访投诉处置台账</w:t>
      </w:r>
    </w:p>
    <w:p w14:paraId="698EE921">
      <w:pPr>
        <w:pStyle w:val="3"/>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Times New Roman" w:hAnsi="Times New Roman" w:eastAsia="黑体" w:cs="Times New Roman"/>
          <w:b w:val="0"/>
          <w:i w:val="0"/>
          <w:caps w:val="0"/>
          <w:color w:val="auto"/>
          <w:spacing w:val="0"/>
          <w:w w:val="100"/>
          <w:kern w:val="0"/>
          <w:sz w:val="32"/>
          <w:szCs w:val="32"/>
          <w:lang w:val="en-US" w:eastAsia="zh-CN" w:bidi="ar-SA"/>
        </w:rPr>
      </w:pPr>
    </w:p>
    <w:p w14:paraId="446C5B55">
      <w:pPr>
        <w:pStyle w:val="3"/>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default" w:ascii="方正小标宋简体" w:hAnsi="方正小标宋简体" w:eastAsia="方正小标宋简体" w:cs="方正小标宋简体"/>
          <w:kern w:val="2"/>
          <w:sz w:val="44"/>
          <w:szCs w:val="44"/>
          <w:lang w:val="en-US" w:eastAsia="zh-CN" w:bidi="ar"/>
        </w:rPr>
      </w:pPr>
      <w:r>
        <w:rPr>
          <w:rFonts w:hint="default" w:ascii="方正小标宋简体" w:hAnsi="方正小标宋简体" w:eastAsia="方正小标宋简体" w:cs="方正小标宋简体"/>
          <w:kern w:val="2"/>
          <w:sz w:val="44"/>
          <w:szCs w:val="44"/>
          <w:lang w:val="en-US" w:eastAsia="zh-CN" w:bidi="ar"/>
        </w:rPr>
        <w:t>行业监管部门转办信访投诉处置台账</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419"/>
        <w:gridCol w:w="720"/>
        <w:gridCol w:w="820"/>
        <w:gridCol w:w="890"/>
        <w:gridCol w:w="1230"/>
        <w:gridCol w:w="1580"/>
        <w:gridCol w:w="840"/>
        <w:gridCol w:w="840"/>
        <w:gridCol w:w="730"/>
        <w:gridCol w:w="1180"/>
        <w:gridCol w:w="810"/>
        <w:gridCol w:w="960"/>
        <w:gridCol w:w="740"/>
        <w:gridCol w:w="720"/>
        <w:gridCol w:w="493"/>
      </w:tblGrid>
      <w:tr w14:paraId="72FFE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1140" w:hRule="atLeast"/>
        </w:trPr>
        <w:tc>
          <w:tcPr>
            <w:tcW w:w="419" w:type="dxa"/>
            <w:vAlign w:val="center"/>
          </w:tcPr>
          <w:p w14:paraId="3F6C2B84">
            <w:pPr>
              <w:pStyle w:val="3"/>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楷体_GB2312" w:hAnsi="楷体_GB2312" w:eastAsia="楷体_GB2312" w:cs="楷体_GB2312"/>
                <w:kern w:val="2"/>
                <w:sz w:val="24"/>
                <w:szCs w:val="24"/>
                <w:vertAlign w:val="baseline"/>
                <w:lang w:val="en-US" w:eastAsia="zh-CN" w:bidi="ar"/>
              </w:rPr>
            </w:pPr>
            <w:r>
              <w:rPr>
                <w:rFonts w:hint="eastAsia" w:ascii="楷体_GB2312" w:hAnsi="楷体_GB2312" w:eastAsia="楷体_GB2312" w:cs="楷体_GB2312"/>
                <w:kern w:val="2"/>
                <w:sz w:val="24"/>
                <w:szCs w:val="24"/>
                <w:vertAlign w:val="baseline"/>
                <w:lang w:val="en-US" w:eastAsia="zh-CN" w:bidi="ar"/>
              </w:rPr>
              <w:t>序</w:t>
            </w:r>
          </w:p>
          <w:p w14:paraId="633A75A6">
            <w:pPr>
              <w:pStyle w:val="3"/>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default" w:ascii="楷体_GB2312" w:hAnsi="楷体_GB2312" w:eastAsia="楷体_GB2312" w:cs="楷体_GB2312"/>
                <w:kern w:val="2"/>
                <w:sz w:val="24"/>
                <w:szCs w:val="24"/>
                <w:vertAlign w:val="baseline"/>
                <w:lang w:val="en-US" w:eastAsia="zh-CN" w:bidi="ar"/>
              </w:rPr>
            </w:pPr>
            <w:r>
              <w:rPr>
                <w:rFonts w:hint="eastAsia" w:ascii="楷体_GB2312" w:hAnsi="楷体_GB2312" w:eastAsia="楷体_GB2312" w:cs="楷体_GB2312"/>
                <w:kern w:val="2"/>
                <w:sz w:val="24"/>
                <w:szCs w:val="24"/>
                <w:vertAlign w:val="baseline"/>
                <w:lang w:val="en-US" w:eastAsia="zh-CN" w:bidi="ar"/>
              </w:rPr>
              <w:t>号</w:t>
            </w:r>
          </w:p>
        </w:tc>
        <w:tc>
          <w:tcPr>
            <w:tcW w:w="720" w:type="dxa"/>
            <w:vAlign w:val="center"/>
          </w:tcPr>
          <w:p w14:paraId="198EC303">
            <w:pPr>
              <w:pStyle w:val="3"/>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default" w:ascii="楷体_GB2312" w:hAnsi="楷体_GB2312" w:eastAsia="楷体_GB2312" w:cs="楷体_GB2312"/>
                <w:kern w:val="2"/>
                <w:sz w:val="24"/>
                <w:szCs w:val="24"/>
                <w:vertAlign w:val="baseline"/>
                <w:lang w:val="en-US" w:eastAsia="zh-CN" w:bidi="ar"/>
              </w:rPr>
            </w:pPr>
            <w:r>
              <w:rPr>
                <w:rFonts w:hint="default" w:ascii="楷体_GB2312" w:hAnsi="楷体_GB2312" w:eastAsia="楷体_GB2312" w:cs="楷体_GB2312"/>
                <w:kern w:val="2"/>
                <w:sz w:val="24"/>
                <w:szCs w:val="24"/>
                <w:vertAlign w:val="baseline"/>
                <w:lang w:val="en-US" w:eastAsia="zh-CN" w:bidi="ar"/>
              </w:rPr>
              <w:t>交办</w:t>
            </w:r>
          </w:p>
          <w:p w14:paraId="15F80289">
            <w:pPr>
              <w:pStyle w:val="3"/>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default" w:ascii="楷体_GB2312" w:hAnsi="楷体_GB2312" w:eastAsia="楷体_GB2312" w:cs="楷体_GB2312"/>
                <w:kern w:val="2"/>
                <w:sz w:val="24"/>
                <w:szCs w:val="24"/>
                <w:vertAlign w:val="baseline"/>
                <w:lang w:val="en-US" w:eastAsia="zh-CN" w:bidi="ar"/>
              </w:rPr>
            </w:pPr>
            <w:r>
              <w:rPr>
                <w:rFonts w:hint="default" w:ascii="楷体_GB2312" w:hAnsi="楷体_GB2312" w:eastAsia="楷体_GB2312" w:cs="楷体_GB2312"/>
                <w:kern w:val="2"/>
                <w:sz w:val="24"/>
                <w:szCs w:val="24"/>
                <w:vertAlign w:val="baseline"/>
                <w:lang w:val="en-US" w:eastAsia="zh-CN" w:bidi="ar"/>
              </w:rPr>
              <w:t>编号</w:t>
            </w:r>
          </w:p>
        </w:tc>
        <w:tc>
          <w:tcPr>
            <w:tcW w:w="820" w:type="dxa"/>
            <w:vAlign w:val="center"/>
          </w:tcPr>
          <w:p w14:paraId="0AFB72ED">
            <w:pPr>
              <w:pStyle w:val="3"/>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default" w:ascii="楷体_GB2312" w:hAnsi="楷体_GB2312" w:eastAsia="楷体_GB2312" w:cs="楷体_GB2312"/>
                <w:kern w:val="2"/>
                <w:sz w:val="24"/>
                <w:szCs w:val="24"/>
                <w:vertAlign w:val="baseline"/>
                <w:lang w:val="en-US" w:eastAsia="zh-CN" w:bidi="ar"/>
              </w:rPr>
            </w:pPr>
            <w:r>
              <w:rPr>
                <w:rFonts w:hint="default" w:ascii="楷体_GB2312" w:hAnsi="楷体_GB2312" w:eastAsia="楷体_GB2312" w:cs="楷体_GB2312"/>
                <w:kern w:val="2"/>
                <w:sz w:val="24"/>
                <w:szCs w:val="24"/>
                <w:vertAlign w:val="baseline"/>
                <w:lang w:val="en-US" w:eastAsia="zh-CN" w:bidi="ar"/>
              </w:rPr>
              <w:t>交办来源</w:t>
            </w:r>
          </w:p>
        </w:tc>
        <w:tc>
          <w:tcPr>
            <w:tcW w:w="890" w:type="dxa"/>
            <w:vAlign w:val="center"/>
          </w:tcPr>
          <w:p w14:paraId="147C7C6C">
            <w:pPr>
              <w:pStyle w:val="3"/>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default" w:ascii="楷体_GB2312" w:hAnsi="楷体_GB2312" w:eastAsia="楷体_GB2312" w:cs="楷体_GB2312"/>
                <w:kern w:val="2"/>
                <w:sz w:val="24"/>
                <w:szCs w:val="24"/>
                <w:vertAlign w:val="baseline"/>
                <w:lang w:val="en-US" w:eastAsia="zh-CN" w:bidi="ar"/>
              </w:rPr>
            </w:pPr>
          </w:p>
          <w:p w14:paraId="5ED884D9">
            <w:pPr>
              <w:pStyle w:val="3"/>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default" w:ascii="楷体_GB2312" w:hAnsi="楷体_GB2312" w:eastAsia="楷体_GB2312" w:cs="楷体_GB2312"/>
                <w:kern w:val="2"/>
                <w:sz w:val="24"/>
                <w:szCs w:val="24"/>
                <w:vertAlign w:val="baseline"/>
                <w:lang w:val="en-US" w:eastAsia="zh-CN" w:bidi="ar"/>
              </w:rPr>
            </w:pPr>
            <w:r>
              <w:rPr>
                <w:rFonts w:hint="default" w:ascii="楷体_GB2312" w:hAnsi="楷体_GB2312" w:eastAsia="楷体_GB2312" w:cs="楷体_GB2312"/>
                <w:kern w:val="2"/>
                <w:sz w:val="24"/>
                <w:szCs w:val="24"/>
                <w:vertAlign w:val="baseline"/>
                <w:lang w:val="en-US" w:eastAsia="zh-CN" w:bidi="ar"/>
              </w:rPr>
              <w:t>诉求人</w:t>
            </w:r>
          </w:p>
          <w:p w14:paraId="71998F76">
            <w:pPr>
              <w:pStyle w:val="3"/>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default" w:ascii="楷体_GB2312" w:hAnsi="楷体_GB2312" w:eastAsia="楷体_GB2312" w:cs="楷体_GB2312"/>
                <w:kern w:val="2"/>
                <w:sz w:val="24"/>
                <w:szCs w:val="24"/>
                <w:vertAlign w:val="baseline"/>
                <w:lang w:val="en-US" w:eastAsia="zh-CN" w:bidi="ar"/>
              </w:rPr>
            </w:pPr>
          </w:p>
        </w:tc>
        <w:tc>
          <w:tcPr>
            <w:tcW w:w="1230" w:type="dxa"/>
            <w:vAlign w:val="center"/>
          </w:tcPr>
          <w:p w14:paraId="7847D2DE">
            <w:pPr>
              <w:pStyle w:val="3"/>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default" w:ascii="楷体_GB2312" w:hAnsi="楷体_GB2312" w:eastAsia="楷体_GB2312" w:cs="楷体_GB2312"/>
                <w:kern w:val="2"/>
                <w:sz w:val="24"/>
                <w:szCs w:val="24"/>
                <w:vertAlign w:val="baseline"/>
                <w:lang w:val="en-US" w:eastAsia="zh-CN" w:bidi="ar"/>
              </w:rPr>
            </w:pPr>
            <w:r>
              <w:rPr>
                <w:rFonts w:hint="default" w:ascii="楷体_GB2312" w:hAnsi="楷体_GB2312" w:eastAsia="楷体_GB2312" w:cs="楷体_GB2312"/>
                <w:kern w:val="2"/>
                <w:sz w:val="24"/>
                <w:szCs w:val="24"/>
                <w:vertAlign w:val="baseline"/>
                <w:lang w:val="en-US" w:eastAsia="zh-CN" w:bidi="ar"/>
              </w:rPr>
              <w:t>联系电话</w:t>
            </w:r>
          </w:p>
        </w:tc>
        <w:tc>
          <w:tcPr>
            <w:tcW w:w="1580" w:type="dxa"/>
            <w:vAlign w:val="center"/>
          </w:tcPr>
          <w:p w14:paraId="10F4B594">
            <w:pPr>
              <w:pStyle w:val="3"/>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default" w:ascii="楷体_GB2312" w:hAnsi="楷体_GB2312" w:eastAsia="楷体_GB2312" w:cs="楷体_GB2312"/>
                <w:kern w:val="2"/>
                <w:sz w:val="24"/>
                <w:szCs w:val="24"/>
                <w:vertAlign w:val="baseline"/>
                <w:lang w:val="en-US" w:eastAsia="zh-CN" w:bidi="ar"/>
              </w:rPr>
            </w:pPr>
            <w:r>
              <w:rPr>
                <w:rFonts w:hint="default" w:ascii="楷体_GB2312" w:hAnsi="楷体_GB2312" w:eastAsia="楷体_GB2312" w:cs="楷体_GB2312"/>
                <w:kern w:val="2"/>
                <w:sz w:val="24"/>
                <w:szCs w:val="24"/>
                <w:vertAlign w:val="baseline"/>
                <w:lang w:val="en-US" w:eastAsia="zh-CN" w:bidi="ar"/>
              </w:rPr>
              <w:t>投诉内容</w:t>
            </w:r>
          </w:p>
        </w:tc>
        <w:tc>
          <w:tcPr>
            <w:tcW w:w="840" w:type="dxa"/>
            <w:vAlign w:val="center"/>
          </w:tcPr>
          <w:p w14:paraId="0D9CCA9B">
            <w:pPr>
              <w:pStyle w:val="3"/>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default" w:ascii="楷体_GB2312" w:hAnsi="楷体_GB2312" w:eastAsia="楷体_GB2312" w:cs="楷体_GB2312"/>
                <w:kern w:val="2"/>
                <w:sz w:val="24"/>
                <w:szCs w:val="24"/>
                <w:vertAlign w:val="baseline"/>
                <w:lang w:val="en-US" w:eastAsia="zh-CN" w:bidi="ar"/>
              </w:rPr>
            </w:pPr>
            <w:r>
              <w:rPr>
                <w:rFonts w:hint="default" w:ascii="楷体_GB2312" w:hAnsi="楷体_GB2312" w:eastAsia="楷体_GB2312" w:cs="楷体_GB2312"/>
                <w:kern w:val="2"/>
                <w:sz w:val="24"/>
                <w:szCs w:val="24"/>
                <w:vertAlign w:val="baseline"/>
                <w:lang w:val="en-US" w:eastAsia="zh-CN" w:bidi="ar"/>
              </w:rPr>
              <w:t>投诉分类</w:t>
            </w:r>
          </w:p>
        </w:tc>
        <w:tc>
          <w:tcPr>
            <w:tcW w:w="840" w:type="dxa"/>
            <w:vAlign w:val="center"/>
          </w:tcPr>
          <w:p w14:paraId="350CBB80">
            <w:pPr>
              <w:pStyle w:val="3"/>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default" w:ascii="楷体_GB2312" w:hAnsi="楷体_GB2312" w:eastAsia="楷体_GB2312" w:cs="楷体_GB2312"/>
                <w:kern w:val="2"/>
                <w:sz w:val="24"/>
                <w:szCs w:val="24"/>
                <w:vertAlign w:val="baseline"/>
                <w:lang w:val="en-US" w:eastAsia="zh-CN" w:bidi="ar"/>
              </w:rPr>
            </w:pPr>
            <w:r>
              <w:rPr>
                <w:rFonts w:hint="default" w:ascii="楷体_GB2312" w:hAnsi="楷体_GB2312" w:eastAsia="楷体_GB2312" w:cs="楷体_GB2312"/>
                <w:kern w:val="2"/>
                <w:sz w:val="24"/>
                <w:szCs w:val="24"/>
                <w:vertAlign w:val="baseline"/>
                <w:lang w:val="en-US" w:eastAsia="zh-CN" w:bidi="ar"/>
              </w:rPr>
              <w:t>投诉等级</w:t>
            </w:r>
          </w:p>
        </w:tc>
        <w:tc>
          <w:tcPr>
            <w:tcW w:w="730" w:type="dxa"/>
            <w:vAlign w:val="center"/>
          </w:tcPr>
          <w:p w14:paraId="337A0FA2">
            <w:pPr>
              <w:pStyle w:val="3"/>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default" w:ascii="楷体_GB2312" w:hAnsi="楷体_GB2312" w:eastAsia="楷体_GB2312" w:cs="楷体_GB2312"/>
                <w:kern w:val="2"/>
                <w:sz w:val="24"/>
                <w:szCs w:val="24"/>
                <w:vertAlign w:val="baseline"/>
                <w:lang w:val="en-US" w:eastAsia="zh-CN" w:bidi="ar"/>
              </w:rPr>
            </w:pPr>
            <w:r>
              <w:rPr>
                <w:rFonts w:hint="default" w:ascii="楷体_GB2312" w:hAnsi="楷体_GB2312" w:eastAsia="楷体_GB2312" w:cs="楷体_GB2312"/>
                <w:kern w:val="2"/>
                <w:sz w:val="24"/>
                <w:szCs w:val="24"/>
                <w:vertAlign w:val="baseline"/>
                <w:lang w:val="en-US" w:eastAsia="zh-CN" w:bidi="ar"/>
              </w:rPr>
              <w:t>签收日期</w:t>
            </w:r>
          </w:p>
        </w:tc>
        <w:tc>
          <w:tcPr>
            <w:tcW w:w="1180" w:type="dxa"/>
            <w:vAlign w:val="center"/>
          </w:tcPr>
          <w:p w14:paraId="06E34253">
            <w:pPr>
              <w:pStyle w:val="3"/>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default" w:ascii="楷体_GB2312" w:hAnsi="楷体_GB2312" w:eastAsia="楷体_GB2312" w:cs="楷体_GB2312"/>
                <w:kern w:val="2"/>
                <w:sz w:val="24"/>
                <w:szCs w:val="24"/>
                <w:vertAlign w:val="baseline"/>
                <w:lang w:val="en-US" w:eastAsia="zh-CN" w:bidi="ar"/>
              </w:rPr>
            </w:pPr>
            <w:r>
              <w:rPr>
                <w:rFonts w:hint="default" w:ascii="楷体_GB2312" w:hAnsi="楷体_GB2312" w:eastAsia="楷体_GB2312" w:cs="楷体_GB2312"/>
                <w:kern w:val="2"/>
                <w:sz w:val="24"/>
                <w:szCs w:val="24"/>
                <w:vertAlign w:val="baseline"/>
                <w:lang w:val="en-US" w:eastAsia="zh-CN" w:bidi="ar"/>
              </w:rPr>
              <w:t>处置情况</w:t>
            </w:r>
          </w:p>
        </w:tc>
        <w:tc>
          <w:tcPr>
            <w:tcW w:w="810" w:type="dxa"/>
            <w:vAlign w:val="center"/>
          </w:tcPr>
          <w:p w14:paraId="5B18DBFA">
            <w:pPr>
              <w:pStyle w:val="3"/>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default" w:ascii="楷体_GB2312" w:hAnsi="楷体_GB2312" w:eastAsia="楷体_GB2312" w:cs="楷体_GB2312"/>
                <w:kern w:val="2"/>
                <w:sz w:val="24"/>
                <w:szCs w:val="24"/>
                <w:vertAlign w:val="baseline"/>
                <w:lang w:val="en-US" w:eastAsia="zh-CN" w:bidi="ar"/>
              </w:rPr>
            </w:pPr>
            <w:r>
              <w:rPr>
                <w:rFonts w:hint="default" w:ascii="楷体_GB2312" w:hAnsi="楷体_GB2312" w:eastAsia="楷体_GB2312" w:cs="楷体_GB2312"/>
                <w:kern w:val="2"/>
                <w:sz w:val="24"/>
                <w:szCs w:val="24"/>
                <w:vertAlign w:val="baseline"/>
                <w:lang w:val="en-US" w:eastAsia="zh-CN" w:bidi="ar"/>
              </w:rPr>
              <w:t>办结日期</w:t>
            </w:r>
          </w:p>
        </w:tc>
        <w:tc>
          <w:tcPr>
            <w:tcW w:w="960" w:type="dxa"/>
            <w:vAlign w:val="center"/>
          </w:tcPr>
          <w:p w14:paraId="3D298EB2">
            <w:pPr>
              <w:pStyle w:val="3"/>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default" w:ascii="楷体_GB2312" w:hAnsi="楷体_GB2312" w:eastAsia="楷体_GB2312" w:cs="楷体_GB2312"/>
                <w:kern w:val="2"/>
                <w:sz w:val="24"/>
                <w:szCs w:val="24"/>
                <w:vertAlign w:val="baseline"/>
                <w:lang w:val="en-US" w:eastAsia="zh-CN" w:bidi="ar"/>
              </w:rPr>
            </w:pPr>
            <w:r>
              <w:rPr>
                <w:rFonts w:hint="default" w:ascii="楷体_GB2312" w:hAnsi="楷体_GB2312" w:eastAsia="楷体_GB2312" w:cs="楷体_GB2312"/>
                <w:kern w:val="2"/>
                <w:sz w:val="24"/>
                <w:szCs w:val="24"/>
                <w:vertAlign w:val="baseline"/>
                <w:lang w:val="en-US" w:eastAsia="zh-CN" w:bidi="ar"/>
              </w:rPr>
              <w:t>回访</w:t>
            </w:r>
            <w:r>
              <w:rPr>
                <w:rFonts w:hint="eastAsia" w:ascii="楷体_GB2312" w:hAnsi="楷体_GB2312" w:eastAsia="楷体_GB2312" w:cs="楷体_GB2312"/>
                <w:kern w:val="2"/>
                <w:sz w:val="24"/>
                <w:szCs w:val="24"/>
                <w:vertAlign w:val="baseline"/>
                <w:lang w:val="en-US" w:eastAsia="zh-CN" w:bidi="ar"/>
              </w:rPr>
              <w:t>人</w:t>
            </w:r>
          </w:p>
        </w:tc>
        <w:tc>
          <w:tcPr>
            <w:tcW w:w="740" w:type="dxa"/>
            <w:vAlign w:val="center"/>
          </w:tcPr>
          <w:p w14:paraId="3CC997FF">
            <w:pPr>
              <w:pStyle w:val="3"/>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default" w:ascii="楷体_GB2312" w:hAnsi="楷体_GB2312" w:eastAsia="楷体_GB2312" w:cs="楷体_GB2312"/>
                <w:kern w:val="2"/>
                <w:sz w:val="24"/>
                <w:szCs w:val="24"/>
                <w:vertAlign w:val="baseline"/>
                <w:lang w:val="en-US" w:eastAsia="zh-CN" w:bidi="ar"/>
              </w:rPr>
            </w:pPr>
            <w:r>
              <w:rPr>
                <w:rFonts w:hint="default" w:ascii="楷体_GB2312" w:hAnsi="楷体_GB2312" w:eastAsia="楷体_GB2312" w:cs="楷体_GB2312"/>
                <w:kern w:val="2"/>
                <w:sz w:val="24"/>
                <w:szCs w:val="24"/>
                <w:vertAlign w:val="baseline"/>
                <w:lang w:val="en-US" w:eastAsia="zh-CN" w:bidi="ar"/>
              </w:rPr>
              <w:t>回访结果</w:t>
            </w:r>
          </w:p>
        </w:tc>
        <w:tc>
          <w:tcPr>
            <w:tcW w:w="720" w:type="dxa"/>
            <w:vAlign w:val="center"/>
          </w:tcPr>
          <w:p w14:paraId="04FFF2AF">
            <w:pPr>
              <w:pStyle w:val="3"/>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default" w:ascii="楷体_GB2312" w:hAnsi="楷体_GB2312" w:eastAsia="楷体_GB2312" w:cs="楷体_GB2312"/>
                <w:kern w:val="2"/>
                <w:sz w:val="24"/>
                <w:szCs w:val="24"/>
                <w:vertAlign w:val="baseline"/>
                <w:lang w:val="en-US" w:eastAsia="zh-CN" w:bidi="ar"/>
              </w:rPr>
            </w:pPr>
            <w:r>
              <w:rPr>
                <w:rFonts w:hint="default" w:ascii="楷体_GB2312" w:hAnsi="楷体_GB2312" w:eastAsia="楷体_GB2312" w:cs="楷体_GB2312"/>
                <w:kern w:val="2"/>
                <w:sz w:val="24"/>
                <w:szCs w:val="24"/>
                <w:vertAlign w:val="baseline"/>
                <w:lang w:val="en-US" w:eastAsia="zh-CN" w:bidi="ar"/>
              </w:rPr>
              <w:t>归档编号</w:t>
            </w:r>
          </w:p>
        </w:tc>
        <w:tc>
          <w:tcPr>
            <w:tcW w:w="493" w:type="dxa"/>
            <w:vAlign w:val="center"/>
          </w:tcPr>
          <w:p w14:paraId="0D196EC0">
            <w:pPr>
              <w:pStyle w:val="3"/>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default" w:ascii="楷体_GB2312" w:hAnsi="楷体_GB2312" w:eastAsia="楷体_GB2312" w:cs="楷体_GB2312"/>
                <w:kern w:val="2"/>
                <w:sz w:val="24"/>
                <w:szCs w:val="24"/>
                <w:vertAlign w:val="baseline"/>
                <w:lang w:val="en-US" w:eastAsia="zh-CN" w:bidi="ar"/>
              </w:rPr>
            </w:pPr>
            <w:r>
              <w:rPr>
                <w:rFonts w:hint="default" w:ascii="楷体_GB2312" w:hAnsi="楷体_GB2312" w:eastAsia="楷体_GB2312" w:cs="楷体_GB2312"/>
                <w:kern w:val="2"/>
                <w:sz w:val="24"/>
                <w:szCs w:val="24"/>
                <w:vertAlign w:val="baseline"/>
                <w:lang w:val="en-US" w:eastAsia="zh-CN" w:bidi="ar"/>
              </w:rPr>
              <w:t>备注</w:t>
            </w:r>
          </w:p>
        </w:tc>
      </w:tr>
      <w:tr w14:paraId="170CF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1417" w:hRule="atLeast"/>
        </w:trPr>
        <w:tc>
          <w:tcPr>
            <w:tcW w:w="419" w:type="dxa"/>
            <w:vAlign w:val="top"/>
          </w:tcPr>
          <w:p w14:paraId="16068522">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720" w:type="dxa"/>
            <w:vAlign w:val="top"/>
          </w:tcPr>
          <w:p w14:paraId="0FD81B72">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820" w:type="dxa"/>
            <w:vAlign w:val="top"/>
          </w:tcPr>
          <w:p w14:paraId="098AD7A5">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890" w:type="dxa"/>
            <w:vAlign w:val="top"/>
          </w:tcPr>
          <w:p w14:paraId="7B90EDEE">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1230" w:type="dxa"/>
            <w:vAlign w:val="top"/>
          </w:tcPr>
          <w:p w14:paraId="6DF308C8">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1580" w:type="dxa"/>
            <w:vAlign w:val="top"/>
          </w:tcPr>
          <w:p w14:paraId="676A9F7E">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840" w:type="dxa"/>
            <w:vAlign w:val="top"/>
          </w:tcPr>
          <w:p w14:paraId="4A2BB5D7">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840" w:type="dxa"/>
            <w:vAlign w:val="top"/>
          </w:tcPr>
          <w:p w14:paraId="217BB545">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730" w:type="dxa"/>
            <w:vAlign w:val="top"/>
          </w:tcPr>
          <w:p w14:paraId="03C8036E">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1180" w:type="dxa"/>
            <w:vAlign w:val="top"/>
          </w:tcPr>
          <w:p w14:paraId="4909429D">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810" w:type="dxa"/>
            <w:vAlign w:val="top"/>
          </w:tcPr>
          <w:p w14:paraId="4C89F703">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960" w:type="dxa"/>
            <w:vAlign w:val="top"/>
          </w:tcPr>
          <w:p w14:paraId="0567A989">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740" w:type="dxa"/>
            <w:vAlign w:val="top"/>
          </w:tcPr>
          <w:p w14:paraId="2833D13E">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720" w:type="dxa"/>
            <w:vAlign w:val="top"/>
          </w:tcPr>
          <w:p w14:paraId="2BA691EA">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493" w:type="dxa"/>
            <w:vAlign w:val="top"/>
          </w:tcPr>
          <w:p w14:paraId="17D69176">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r>
      <w:tr w14:paraId="63B71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1417" w:hRule="atLeast"/>
        </w:trPr>
        <w:tc>
          <w:tcPr>
            <w:tcW w:w="419" w:type="dxa"/>
            <w:vAlign w:val="top"/>
          </w:tcPr>
          <w:p w14:paraId="2DAAB320">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720" w:type="dxa"/>
            <w:vAlign w:val="top"/>
          </w:tcPr>
          <w:p w14:paraId="6727BC84">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820" w:type="dxa"/>
            <w:vAlign w:val="top"/>
          </w:tcPr>
          <w:p w14:paraId="6C761737">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890" w:type="dxa"/>
            <w:vAlign w:val="top"/>
          </w:tcPr>
          <w:p w14:paraId="61FF85E2">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1230" w:type="dxa"/>
            <w:vAlign w:val="top"/>
          </w:tcPr>
          <w:p w14:paraId="61FFA809">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1580" w:type="dxa"/>
            <w:vAlign w:val="top"/>
          </w:tcPr>
          <w:p w14:paraId="7DCB658F">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840" w:type="dxa"/>
            <w:vAlign w:val="top"/>
          </w:tcPr>
          <w:p w14:paraId="1A31AF08">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840" w:type="dxa"/>
            <w:vAlign w:val="top"/>
          </w:tcPr>
          <w:p w14:paraId="73C6BB0D">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730" w:type="dxa"/>
            <w:vAlign w:val="top"/>
          </w:tcPr>
          <w:p w14:paraId="099DA935">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1180" w:type="dxa"/>
            <w:vAlign w:val="top"/>
          </w:tcPr>
          <w:p w14:paraId="660F6A42">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810" w:type="dxa"/>
            <w:vAlign w:val="top"/>
          </w:tcPr>
          <w:p w14:paraId="02BD82EE">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960" w:type="dxa"/>
            <w:vAlign w:val="top"/>
          </w:tcPr>
          <w:p w14:paraId="2AE5E14E">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740" w:type="dxa"/>
            <w:vAlign w:val="top"/>
          </w:tcPr>
          <w:p w14:paraId="517D99DF">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720" w:type="dxa"/>
            <w:vAlign w:val="top"/>
          </w:tcPr>
          <w:p w14:paraId="586190C5">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493" w:type="dxa"/>
            <w:vAlign w:val="top"/>
          </w:tcPr>
          <w:p w14:paraId="46BE45FC">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r>
      <w:tr w14:paraId="4FDF9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17" w:hRule="atLeast"/>
        </w:trPr>
        <w:tc>
          <w:tcPr>
            <w:tcW w:w="419" w:type="dxa"/>
            <w:vAlign w:val="top"/>
          </w:tcPr>
          <w:p w14:paraId="1EB4C527">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720" w:type="dxa"/>
            <w:vAlign w:val="top"/>
          </w:tcPr>
          <w:p w14:paraId="3AE6D2A0">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820" w:type="dxa"/>
            <w:vAlign w:val="top"/>
          </w:tcPr>
          <w:p w14:paraId="2E48D7E0">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890" w:type="dxa"/>
            <w:vAlign w:val="top"/>
          </w:tcPr>
          <w:p w14:paraId="1A9031B8">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1230" w:type="dxa"/>
            <w:vAlign w:val="top"/>
          </w:tcPr>
          <w:p w14:paraId="338851C2">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1580" w:type="dxa"/>
            <w:vAlign w:val="top"/>
          </w:tcPr>
          <w:p w14:paraId="77DAE239">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840" w:type="dxa"/>
            <w:vAlign w:val="top"/>
          </w:tcPr>
          <w:p w14:paraId="01633D2D">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840" w:type="dxa"/>
            <w:vAlign w:val="top"/>
          </w:tcPr>
          <w:p w14:paraId="2BD5B5BC">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730" w:type="dxa"/>
            <w:vAlign w:val="top"/>
          </w:tcPr>
          <w:p w14:paraId="13677854">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1180" w:type="dxa"/>
            <w:vAlign w:val="top"/>
          </w:tcPr>
          <w:p w14:paraId="770514D4">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810" w:type="dxa"/>
            <w:vAlign w:val="top"/>
          </w:tcPr>
          <w:p w14:paraId="7AA98C1E">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960" w:type="dxa"/>
            <w:vAlign w:val="top"/>
          </w:tcPr>
          <w:p w14:paraId="701CF6C4">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740" w:type="dxa"/>
            <w:vAlign w:val="top"/>
          </w:tcPr>
          <w:p w14:paraId="396FCBF8">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720" w:type="dxa"/>
            <w:vAlign w:val="top"/>
          </w:tcPr>
          <w:p w14:paraId="7E4754C3">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493" w:type="dxa"/>
            <w:vAlign w:val="top"/>
          </w:tcPr>
          <w:p w14:paraId="484521F4">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r>
      <w:tr w14:paraId="20F5C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1417" w:hRule="atLeast"/>
        </w:trPr>
        <w:tc>
          <w:tcPr>
            <w:tcW w:w="419" w:type="dxa"/>
            <w:vAlign w:val="top"/>
          </w:tcPr>
          <w:p w14:paraId="474B67DC">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720" w:type="dxa"/>
            <w:vAlign w:val="top"/>
          </w:tcPr>
          <w:p w14:paraId="2540A581">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820" w:type="dxa"/>
            <w:vAlign w:val="top"/>
          </w:tcPr>
          <w:p w14:paraId="2133F610">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890" w:type="dxa"/>
            <w:vAlign w:val="top"/>
          </w:tcPr>
          <w:p w14:paraId="08D7C21B">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1230" w:type="dxa"/>
            <w:vAlign w:val="top"/>
          </w:tcPr>
          <w:p w14:paraId="7D1E5F9B">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1580" w:type="dxa"/>
            <w:vAlign w:val="top"/>
          </w:tcPr>
          <w:p w14:paraId="74202F0E">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840" w:type="dxa"/>
            <w:vAlign w:val="top"/>
          </w:tcPr>
          <w:p w14:paraId="1C49E390">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840" w:type="dxa"/>
            <w:vAlign w:val="top"/>
          </w:tcPr>
          <w:p w14:paraId="154E9580">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730" w:type="dxa"/>
            <w:vAlign w:val="top"/>
          </w:tcPr>
          <w:p w14:paraId="62FE9E46">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1180" w:type="dxa"/>
            <w:vAlign w:val="top"/>
          </w:tcPr>
          <w:p w14:paraId="3289F8B1">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810" w:type="dxa"/>
            <w:vAlign w:val="top"/>
          </w:tcPr>
          <w:p w14:paraId="59290816">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960" w:type="dxa"/>
            <w:vAlign w:val="top"/>
          </w:tcPr>
          <w:p w14:paraId="72947D40">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740" w:type="dxa"/>
            <w:vAlign w:val="top"/>
          </w:tcPr>
          <w:p w14:paraId="557B3662">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720" w:type="dxa"/>
            <w:vAlign w:val="top"/>
          </w:tcPr>
          <w:p w14:paraId="44D1B537">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493" w:type="dxa"/>
            <w:vAlign w:val="top"/>
          </w:tcPr>
          <w:p w14:paraId="2D754318">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r>
    </w:tbl>
    <w:p w14:paraId="746180EC">
      <w:pPr>
        <w:pStyle w:val="3"/>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Times New Roman" w:hAnsi="Times New Roman" w:eastAsia="黑体" w:cs="Times New Roman"/>
          <w:b w:val="0"/>
          <w:i w:val="0"/>
          <w:caps w:val="0"/>
          <w:color w:val="auto"/>
          <w:spacing w:val="0"/>
          <w:w w:val="100"/>
          <w:kern w:val="0"/>
          <w:sz w:val="32"/>
          <w:szCs w:val="32"/>
          <w:lang w:val="en-US" w:eastAsia="zh-CN" w:bidi="ar-SA"/>
        </w:rPr>
      </w:pPr>
      <w:r>
        <w:rPr>
          <w:rFonts w:hint="eastAsia" w:ascii="Times New Roman" w:hAnsi="Times New Roman" w:eastAsia="黑体" w:cs="Times New Roman"/>
          <w:b w:val="0"/>
          <w:i w:val="0"/>
          <w:caps w:val="0"/>
          <w:color w:val="auto"/>
          <w:spacing w:val="0"/>
          <w:w w:val="100"/>
          <w:kern w:val="0"/>
          <w:sz w:val="32"/>
          <w:szCs w:val="32"/>
          <w:lang w:val="en-US" w:eastAsia="zh-CN" w:bidi="ar-SA"/>
        </w:rPr>
        <w:t>附件4：日常受理投诉处置台账</w:t>
      </w:r>
    </w:p>
    <w:p w14:paraId="071E19A9">
      <w:pPr>
        <w:pStyle w:val="3"/>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Times New Roman" w:hAnsi="Times New Roman" w:eastAsia="黑体" w:cs="Times New Roman"/>
          <w:b w:val="0"/>
          <w:i w:val="0"/>
          <w:caps w:val="0"/>
          <w:color w:val="auto"/>
          <w:spacing w:val="0"/>
          <w:w w:val="100"/>
          <w:kern w:val="0"/>
          <w:sz w:val="32"/>
          <w:szCs w:val="32"/>
          <w:lang w:val="en-US" w:eastAsia="zh-CN" w:bidi="ar-SA"/>
        </w:rPr>
      </w:pPr>
    </w:p>
    <w:p w14:paraId="21AE8D5B">
      <w:pPr>
        <w:pStyle w:val="3"/>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default" w:ascii="方正小标宋简体" w:hAnsi="方正小标宋简体" w:eastAsia="方正小标宋简体" w:cs="方正小标宋简体"/>
          <w:kern w:val="2"/>
          <w:sz w:val="44"/>
          <w:szCs w:val="44"/>
          <w:lang w:val="en-US" w:eastAsia="zh-CN" w:bidi="ar"/>
        </w:rPr>
      </w:pPr>
      <w:r>
        <w:rPr>
          <w:rFonts w:hint="default" w:ascii="方正小标宋简体" w:hAnsi="方正小标宋简体" w:eastAsia="方正小标宋简体" w:cs="方正小标宋简体"/>
          <w:kern w:val="2"/>
          <w:sz w:val="44"/>
          <w:szCs w:val="44"/>
          <w:lang w:val="en-US" w:eastAsia="zh-CN" w:bidi="ar"/>
        </w:rPr>
        <w:t>日常</w:t>
      </w:r>
      <w:bookmarkStart w:id="0" w:name="_GoBack"/>
      <w:bookmarkEnd w:id="0"/>
      <w:r>
        <w:rPr>
          <w:rFonts w:hint="default" w:ascii="方正小标宋简体" w:hAnsi="方正小标宋简体" w:eastAsia="方正小标宋简体" w:cs="方正小标宋简体"/>
          <w:kern w:val="2"/>
          <w:sz w:val="44"/>
          <w:szCs w:val="44"/>
          <w:lang w:val="en-US" w:eastAsia="zh-CN" w:bidi="ar"/>
        </w:rPr>
        <w:t>受理投诉处置台账</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9"/>
        <w:gridCol w:w="720"/>
        <w:gridCol w:w="820"/>
        <w:gridCol w:w="890"/>
        <w:gridCol w:w="1230"/>
        <w:gridCol w:w="1580"/>
        <w:gridCol w:w="840"/>
        <w:gridCol w:w="840"/>
        <w:gridCol w:w="730"/>
        <w:gridCol w:w="1180"/>
        <w:gridCol w:w="810"/>
        <w:gridCol w:w="960"/>
        <w:gridCol w:w="740"/>
        <w:gridCol w:w="720"/>
        <w:gridCol w:w="493"/>
      </w:tblGrid>
      <w:tr w14:paraId="1CDCD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419" w:type="dxa"/>
            <w:vAlign w:val="center"/>
          </w:tcPr>
          <w:p w14:paraId="1E5E815A">
            <w:pPr>
              <w:pStyle w:val="3"/>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楷体_GB2312" w:hAnsi="楷体_GB2312" w:eastAsia="楷体_GB2312" w:cs="楷体_GB2312"/>
                <w:kern w:val="2"/>
                <w:sz w:val="24"/>
                <w:szCs w:val="24"/>
                <w:vertAlign w:val="baseline"/>
                <w:lang w:val="en-US" w:eastAsia="zh-CN" w:bidi="ar"/>
              </w:rPr>
            </w:pPr>
            <w:r>
              <w:rPr>
                <w:rFonts w:hint="eastAsia" w:ascii="楷体_GB2312" w:hAnsi="楷体_GB2312" w:eastAsia="楷体_GB2312" w:cs="楷体_GB2312"/>
                <w:kern w:val="2"/>
                <w:sz w:val="24"/>
                <w:szCs w:val="24"/>
                <w:vertAlign w:val="baseline"/>
                <w:lang w:val="en-US" w:eastAsia="zh-CN" w:bidi="ar"/>
              </w:rPr>
              <w:t>序</w:t>
            </w:r>
          </w:p>
          <w:p w14:paraId="79485D38">
            <w:pPr>
              <w:pStyle w:val="3"/>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default" w:ascii="楷体_GB2312" w:hAnsi="楷体_GB2312" w:eastAsia="楷体_GB2312" w:cs="楷体_GB2312"/>
                <w:kern w:val="2"/>
                <w:sz w:val="24"/>
                <w:szCs w:val="24"/>
                <w:vertAlign w:val="baseline"/>
                <w:lang w:val="en-US" w:eastAsia="zh-CN" w:bidi="ar"/>
              </w:rPr>
            </w:pPr>
            <w:r>
              <w:rPr>
                <w:rFonts w:hint="eastAsia" w:ascii="楷体_GB2312" w:hAnsi="楷体_GB2312" w:eastAsia="楷体_GB2312" w:cs="楷体_GB2312"/>
                <w:kern w:val="2"/>
                <w:sz w:val="24"/>
                <w:szCs w:val="24"/>
                <w:vertAlign w:val="baseline"/>
                <w:lang w:val="en-US" w:eastAsia="zh-CN" w:bidi="ar"/>
              </w:rPr>
              <w:t>号</w:t>
            </w:r>
          </w:p>
        </w:tc>
        <w:tc>
          <w:tcPr>
            <w:tcW w:w="720" w:type="dxa"/>
            <w:vAlign w:val="center"/>
          </w:tcPr>
          <w:p w14:paraId="09F8762B">
            <w:pPr>
              <w:pStyle w:val="3"/>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default" w:ascii="楷体_GB2312" w:hAnsi="楷体_GB2312" w:eastAsia="楷体_GB2312" w:cs="楷体_GB2312"/>
                <w:kern w:val="2"/>
                <w:sz w:val="24"/>
                <w:szCs w:val="24"/>
                <w:vertAlign w:val="baseline"/>
                <w:lang w:val="en-US" w:eastAsia="zh-CN" w:bidi="ar"/>
              </w:rPr>
            </w:pPr>
            <w:r>
              <w:rPr>
                <w:rFonts w:hint="default" w:ascii="楷体_GB2312" w:hAnsi="楷体_GB2312" w:eastAsia="楷体_GB2312" w:cs="楷体_GB2312"/>
                <w:kern w:val="2"/>
                <w:sz w:val="24"/>
                <w:szCs w:val="24"/>
                <w:vertAlign w:val="baseline"/>
                <w:lang w:val="en-US" w:eastAsia="zh-CN" w:bidi="ar"/>
              </w:rPr>
              <w:t>交办</w:t>
            </w:r>
          </w:p>
          <w:p w14:paraId="20E91658">
            <w:pPr>
              <w:pStyle w:val="3"/>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default" w:ascii="楷体_GB2312" w:hAnsi="楷体_GB2312" w:eastAsia="楷体_GB2312" w:cs="楷体_GB2312"/>
                <w:kern w:val="2"/>
                <w:sz w:val="24"/>
                <w:szCs w:val="24"/>
                <w:vertAlign w:val="baseline"/>
                <w:lang w:val="en-US" w:eastAsia="zh-CN" w:bidi="ar"/>
              </w:rPr>
            </w:pPr>
            <w:r>
              <w:rPr>
                <w:rFonts w:hint="default" w:ascii="楷体_GB2312" w:hAnsi="楷体_GB2312" w:eastAsia="楷体_GB2312" w:cs="楷体_GB2312"/>
                <w:kern w:val="2"/>
                <w:sz w:val="24"/>
                <w:szCs w:val="24"/>
                <w:vertAlign w:val="baseline"/>
                <w:lang w:val="en-US" w:eastAsia="zh-CN" w:bidi="ar"/>
              </w:rPr>
              <w:t>编号</w:t>
            </w:r>
          </w:p>
        </w:tc>
        <w:tc>
          <w:tcPr>
            <w:tcW w:w="820" w:type="dxa"/>
            <w:vAlign w:val="center"/>
          </w:tcPr>
          <w:p w14:paraId="725C8D2C">
            <w:pPr>
              <w:pStyle w:val="3"/>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default" w:ascii="楷体_GB2312" w:hAnsi="楷体_GB2312" w:eastAsia="楷体_GB2312" w:cs="楷体_GB2312"/>
                <w:kern w:val="2"/>
                <w:sz w:val="24"/>
                <w:szCs w:val="24"/>
                <w:vertAlign w:val="baseline"/>
                <w:lang w:val="en-US" w:eastAsia="zh-CN" w:bidi="ar"/>
              </w:rPr>
            </w:pPr>
            <w:r>
              <w:rPr>
                <w:rFonts w:hint="default" w:ascii="楷体_GB2312" w:hAnsi="楷体_GB2312" w:eastAsia="楷体_GB2312" w:cs="楷体_GB2312"/>
                <w:kern w:val="2"/>
                <w:sz w:val="24"/>
                <w:szCs w:val="24"/>
                <w:vertAlign w:val="baseline"/>
                <w:lang w:val="en-US" w:eastAsia="zh-CN" w:bidi="ar"/>
              </w:rPr>
              <w:t>交办来源</w:t>
            </w:r>
          </w:p>
        </w:tc>
        <w:tc>
          <w:tcPr>
            <w:tcW w:w="890" w:type="dxa"/>
            <w:vAlign w:val="center"/>
          </w:tcPr>
          <w:p w14:paraId="7318F8AA">
            <w:pPr>
              <w:pStyle w:val="3"/>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default" w:ascii="楷体_GB2312" w:hAnsi="楷体_GB2312" w:eastAsia="楷体_GB2312" w:cs="楷体_GB2312"/>
                <w:kern w:val="2"/>
                <w:sz w:val="24"/>
                <w:szCs w:val="24"/>
                <w:vertAlign w:val="baseline"/>
                <w:lang w:val="en-US" w:eastAsia="zh-CN" w:bidi="ar"/>
              </w:rPr>
            </w:pPr>
          </w:p>
          <w:p w14:paraId="2871BBAE">
            <w:pPr>
              <w:pStyle w:val="3"/>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default" w:ascii="楷体_GB2312" w:hAnsi="楷体_GB2312" w:eastAsia="楷体_GB2312" w:cs="楷体_GB2312"/>
                <w:kern w:val="2"/>
                <w:sz w:val="24"/>
                <w:szCs w:val="24"/>
                <w:vertAlign w:val="baseline"/>
                <w:lang w:val="en-US" w:eastAsia="zh-CN" w:bidi="ar"/>
              </w:rPr>
            </w:pPr>
            <w:r>
              <w:rPr>
                <w:rFonts w:hint="default" w:ascii="楷体_GB2312" w:hAnsi="楷体_GB2312" w:eastAsia="楷体_GB2312" w:cs="楷体_GB2312"/>
                <w:kern w:val="2"/>
                <w:sz w:val="24"/>
                <w:szCs w:val="24"/>
                <w:vertAlign w:val="baseline"/>
                <w:lang w:val="en-US" w:eastAsia="zh-CN" w:bidi="ar"/>
              </w:rPr>
              <w:t>诉求人</w:t>
            </w:r>
          </w:p>
          <w:p w14:paraId="3E38BA27">
            <w:pPr>
              <w:pStyle w:val="3"/>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default" w:ascii="楷体_GB2312" w:hAnsi="楷体_GB2312" w:eastAsia="楷体_GB2312" w:cs="楷体_GB2312"/>
                <w:kern w:val="2"/>
                <w:sz w:val="24"/>
                <w:szCs w:val="24"/>
                <w:vertAlign w:val="baseline"/>
                <w:lang w:val="en-US" w:eastAsia="zh-CN" w:bidi="ar"/>
              </w:rPr>
            </w:pPr>
          </w:p>
        </w:tc>
        <w:tc>
          <w:tcPr>
            <w:tcW w:w="1230" w:type="dxa"/>
            <w:vAlign w:val="center"/>
          </w:tcPr>
          <w:p w14:paraId="026F9D74">
            <w:pPr>
              <w:pStyle w:val="3"/>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default" w:ascii="楷体_GB2312" w:hAnsi="楷体_GB2312" w:eastAsia="楷体_GB2312" w:cs="楷体_GB2312"/>
                <w:kern w:val="2"/>
                <w:sz w:val="24"/>
                <w:szCs w:val="24"/>
                <w:vertAlign w:val="baseline"/>
                <w:lang w:val="en-US" w:eastAsia="zh-CN" w:bidi="ar"/>
              </w:rPr>
            </w:pPr>
            <w:r>
              <w:rPr>
                <w:rFonts w:hint="default" w:ascii="楷体_GB2312" w:hAnsi="楷体_GB2312" w:eastAsia="楷体_GB2312" w:cs="楷体_GB2312"/>
                <w:kern w:val="2"/>
                <w:sz w:val="24"/>
                <w:szCs w:val="24"/>
                <w:vertAlign w:val="baseline"/>
                <w:lang w:val="en-US" w:eastAsia="zh-CN" w:bidi="ar"/>
              </w:rPr>
              <w:t>联系电话</w:t>
            </w:r>
          </w:p>
        </w:tc>
        <w:tc>
          <w:tcPr>
            <w:tcW w:w="1580" w:type="dxa"/>
            <w:vAlign w:val="center"/>
          </w:tcPr>
          <w:p w14:paraId="0DB1646E">
            <w:pPr>
              <w:pStyle w:val="3"/>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default" w:ascii="楷体_GB2312" w:hAnsi="楷体_GB2312" w:eastAsia="楷体_GB2312" w:cs="楷体_GB2312"/>
                <w:kern w:val="2"/>
                <w:sz w:val="24"/>
                <w:szCs w:val="24"/>
                <w:vertAlign w:val="baseline"/>
                <w:lang w:val="en-US" w:eastAsia="zh-CN" w:bidi="ar"/>
              </w:rPr>
            </w:pPr>
            <w:r>
              <w:rPr>
                <w:rFonts w:hint="default" w:ascii="楷体_GB2312" w:hAnsi="楷体_GB2312" w:eastAsia="楷体_GB2312" w:cs="楷体_GB2312"/>
                <w:kern w:val="2"/>
                <w:sz w:val="24"/>
                <w:szCs w:val="24"/>
                <w:vertAlign w:val="baseline"/>
                <w:lang w:val="en-US" w:eastAsia="zh-CN" w:bidi="ar"/>
              </w:rPr>
              <w:t>投诉内容</w:t>
            </w:r>
          </w:p>
        </w:tc>
        <w:tc>
          <w:tcPr>
            <w:tcW w:w="840" w:type="dxa"/>
            <w:vAlign w:val="center"/>
          </w:tcPr>
          <w:p w14:paraId="326D08A7">
            <w:pPr>
              <w:pStyle w:val="3"/>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default" w:ascii="楷体_GB2312" w:hAnsi="楷体_GB2312" w:eastAsia="楷体_GB2312" w:cs="楷体_GB2312"/>
                <w:kern w:val="2"/>
                <w:sz w:val="24"/>
                <w:szCs w:val="24"/>
                <w:vertAlign w:val="baseline"/>
                <w:lang w:val="en-US" w:eastAsia="zh-CN" w:bidi="ar"/>
              </w:rPr>
            </w:pPr>
            <w:r>
              <w:rPr>
                <w:rFonts w:hint="default" w:ascii="楷体_GB2312" w:hAnsi="楷体_GB2312" w:eastAsia="楷体_GB2312" w:cs="楷体_GB2312"/>
                <w:kern w:val="2"/>
                <w:sz w:val="24"/>
                <w:szCs w:val="24"/>
                <w:vertAlign w:val="baseline"/>
                <w:lang w:val="en-US" w:eastAsia="zh-CN" w:bidi="ar"/>
              </w:rPr>
              <w:t>投诉分类</w:t>
            </w:r>
          </w:p>
        </w:tc>
        <w:tc>
          <w:tcPr>
            <w:tcW w:w="840" w:type="dxa"/>
            <w:vAlign w:val="center"/>
          </w:tcPr>
          <w:p w14:paraId="528AD9A9">
            <w:pPr>
              <w:pStyle w:val="3"/>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default" w:ascii="楷体_GB2312" w:hAnsi="楷体_GB2312" w:eastAsia="楷体_GB2312" w:cs="楷体_GB2312"/>
                <w:kern w:val="2"/>
                <w:sz w:val="24"/>
                <w:szCs w:val="24"/>
                <w:vertAlign w:val="baseline"/>
                <w:lang w:val="en-US" w:eastAsia="zh-CN" w:bidi="ar"/>
              </w:rPr>
            </w:pPr>
            <w:r>
              <w:rPr>
                <w:rFonts w:hint="default" w:ascii="楷体_GB2312" w:hAnsi="楷体_GB2312" w:eastAsia="楷体_GB2312" w:cs="楷体_GB2312"/>
                <w:kern w:val="2"/>
                <w:sz w:val="24"/>
                <w:szCs w:val="24"/>
                <w:vertAlign w:val="baseline"/>
                <w:lang w:val="en-US" w:eastAsia="zh-CN" w:bidi="ar"/>
              </w:rPr>
              <w:t>投诉等级</w:t>
            </w:r>
          </w:p>
        </w:tc>
        <w:tc>
          <w:tcPr>
            <w:tcW w:w="730" w:type="dxa"/>
            <w:vAlign w:val="center"/>
          </w:tcPr>
          <w:p w14:paraId="452E4C75">
            <w:pPr>
              <w:pStyle w:val="3"/>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default" w:ascii="楷体_GB2312" w:hAnsi="楷体_GB2312" w:eastAsia="楷体_GB2312" w:cs="楷体_GB2312"/>
                <w:kern w:val="2"/>
                <w:sz w:val="24"/>
                <w:szCs w:val="24"/>
                <w:vertAlign w:val="baseline"/>
                <w:lang w:val="en-US" w:eastAsia="zh-CN" w:bidi="ar"/>
              </w:rPr>
            </w:pPr>
            <w:r>
              <w:rPr>
                <w:rFonts w:hint="default" w:ascii="楷体_GB2312" w:hAnsi="楷体_GB2312" w:eastAsia="楷体_GB2312" w:cs="楷体_GB2312"/>
                <w:kern w:val="2"/>
                <w:sz w:val="24"/>
                <w:szCs w:val="24"/>
                <w:vertAlign w:val="baseline"/>
                <w:lang w:val="en-US" w:eastAsia="zh-CN" w:bidi="ar"/>
              </w:rPr>
              <w:t>签收日期</w:t>
            </w:r>
          </w:p>
        </w:tc>
        <w:tc>
          <w:tcPr>
            <w:tcW w:w="1180" w:type="dxa"/>
            <w:vAlign w:val="center"/>
          </w:tcPr>
          <w:p w14:paraId="44217EA8">
            <w:pPr>
              <w:pStyle w:val="3"/>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default" w:ascii="楷体_GB2312" w:hAnsi="楷体_GB2312" w:eastAsia="楷体_GB2312" w:cs="楷体_GB2312"/>
                <w:kern w:val="2"/>
                <w:sz w:val="24"/>
                <w:szCs w:val="24"/>
                <w:vertAlign w:val="baseline"/>
                <w:lang w:val="en-US" w:eastAsia="zh-CN" w:bidi="ar"/>
              </w:rPr>
            </w:pPr>
            <w:r>
              <w:rPr>
                <w:rFonts w:hint="default" w:ascii="楷体_GB2312" w:hAnsi="楷体_GB2312" w:eastAsia="楷体_GB2312" w:cs="楷体_GB2312"/>
                <w:kern w:val="2"/>
                <w:sz w:val="24"/>
                <w:szCs w:val="24"/>
                <w:vertAlign w:val="baseline"/>
                <w:lang w:val="en-US" w:eastAsia="zh-CN" w:bidi="ar"/>
              </w:rPr>
              <w:t>处置情况</w:t>
            </w:r>
          </w:p>
        </w:tc>
        <w:tc>
          <w:tcPr>
            <w:tcW w:w="810" w:type="dxa"/>
            <w:vAlign w:val="center"/>
          </w:tcPr>
          <w:p w14:paraId="2D2E3D8A">
            <w:pPr>
              <w:pStyle w:val="3"/>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default" w:ascii="楷体_GB2312" w:hAnsi="楷体_GB2312" w:eastAsia="楷体_GB2312" w:cs="楷体_GB2312"/>
                <w:kern w:val="2"/>
                <w:sz w:val="24"/>
                <w:szCs w:val="24"/>
                <w:vertAlign w:val="baseline"/>
                <w:lang w:val="en-US" w:eastAsia="zh-CN" w:bidi="ar"/>
              </w:rPr>
            </w:pPr>
            <w:r>
              <w:rPr>
                <w:rFonts w:hint="default" w:ascii="楷体_GB2312" w:hAnsi="楷体_GB2312" w:eastAsia="楷体_GB2312" w:cs="楷体_GB2312"/>
                <w:kern w:val="2"/>
                <w:sz w:val="24"/>
                <w:szCs w:val="24"/>
                <w:vertAlign w:val="baseline"/>
                <w:lang w:val="en-US" w:eastAsia="zh-CN" w:bidi="ar"/>
              </w:rPr>
              <w:t>办结日期</w:t>
            </w:r>
          </w:p>
        </w:tc>
        <w:tc>
          <w:tcPr>
            <w:tcW w:w="960" w:type="dxa"/>
            <w:vAlign w:val="center"/>
          </w:tcPr>
          <w:p w14:paraId="43D557E5">
            <w:pPr>
              <w:pStyle w:val="3"/>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default" w:ascii="楷体_GB2312" w:hAnsi="楷体_GB2312" w:eastAsia="楷体_GB2312" w:cs="楷体_GB2312"/>
                <w:kern w:val="2"/>
                <w:sz w:val="24"/>
                <w:szCs w:val="24"/>
                <w:vertAlign w:val="baseline"/>
                <w:lang w:val="en-US" w:eastAsia="zh-CN" w:bidi="ar"/>
              </w:rPr>
            </w:pPr>
            <w:r>
              <w:rPr>
                <w:rFonts w:hint="default" w:ascii="楷体_GB2312" w:hAnsi="楷体_GB2312" w:eastAsia="楷体_GB2312" w:cs="楷体_GB2312"/>
                <w:kern w:val="2"/>
                <w:sz w:val="24"/>
                <w:szCs w:val="24"/>
                <w:vertAlign w:val="baseline"/>
                <w:lang w:val="en-US" w:eastAsia="zh-CN" w:bidi="ar"/>
              </w:rPr>
              <w:t>回访</w:t>
            </w:r>
            <w:r>
              <w:rPr>
                <w:rFonts w:hint="eastAsia" w:ascii="楷体_GB2312" w:hAnsi="楷体_GB2312" w:eastAsia="楷体_GB2312" w:cs="楷体_GB2312"/>
                <w:kern w:val="2"/>
                <w:sz w:val="24"/>
                <w:szCs w:val="24"/>
                <w:vertAlign w:val="baseline"/>
                <w:lang w:val="en-US" w:eastAsia="zh-CN" w:bidi="ar"/>
              </w:rPr>
              <w:t>人</w:t>
            </w:r>
          </w:p>
        </w:tc>
        <w:tc>
          <w:tcPr>
            <w:tcW w:w="740" w:type="dxa"/>
            <w:vAlign w:val="center"/>
          </w:tcPr>
          <w:p w14:paraId="0D39F2A2">
            <w:pPr>
              <w:pStyle w:val="3"/>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default" w:ascii="楷体_GB2312" w:hAnsi="楷体_GB2312" w:eastAsia="楷体_GB2312" w:cs="楷体_GB2312"/>
                <w:kern w:val="2"/>
                <w:sz w:val="24"/>
                <w:szCs w:val="24"/>
                <w:vertAlign w:val="baseline"/>
                <w:lang w:val="en-US" w:eastAsia="zh-CN" w:bidi="ar"/>
              </w:rPr>
            </w:pPr>
            <w:r>
              <w:rPr>
                <w:rFonts w:hint="default" w:ascii="楷体_GB2312" w:hAnsi="楷体_GB2312" w:eastAsia="楷体_GB2312" w:cs="楷体_GB2312"/>
                <w:kern w:val="2"/>
                <w:sz w:val="24"/>
                <w:szCs w:val="24"/>
                <w:vertAlign w:val="baseline"/>
                <w:lang w:val="en-US" w:eastAsia="zh-CN" w:bidi="ar"/>
              </w:rPr>
              <w:t>回访结果</w:t>
            </w:r>
          </w:p>
        </w:tc>
        <w:tc>
          <w:tcPr>
            <w:tcW w:w="720" w:type="dxa"/>
            <w:vAlign w:val="center"/>
          </w:tcPr>
          <w:p w14:paraId="4AC21A64">
            <w:pPr>
              <w:pStyle w:val="3"/>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default" w:ascii="楷体_GB2312" w:hAnsi="楷体_GB2312" w:eastAsia="楷体_GB2312" w:cs="楷体_GB2312"/>
                <w:kern w:val="2"/>
                <w:sz w:val="24"/>
                <w:szCs w:val="24"/>
                <w:vertAlign w:val="baseline"/>
                <w:lang w:val="en-US" w:eastAsia="zh-CN" w:bidi="ar"/>
              </w:rPr>
            </w:pPr>
            <w:r>
              <w:rPr>
                <w:rFonts w:hint="default" w:ascii="楷体_GB2312" w:hAnsi="楷体_GB2312" w:eastAsia="楷体_GB2312" w:cs="楷体_GB2312"/>
                <w:kern w:val="2"/>
                <w:sz w:val="24"/>
                <w:szCs w:val="24"/>
                <w:vertAlign w:val="baseline"/>
                <w:lang w:val="en-US" w:eastAsia="zh-CN" w:bidi="ar"/>
              </w:rPr>
              <w:t>归档编号</w:t>
            </w:r>
          </w:p>
        </w:tc>
        <w:tc>
          <w:tcPr>
            <w:tcW w:w="493" w:type="dxa"/>
            <w:vAlign w:val="center"/>
          </w:tcPr>
          <w:p w14:paraId="02356C85">
            <w:pPr>
              <w:pStyle w:val="3"/>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default" w:ascii="楷体_GB2312" w:hAnsi="楷体_GB2312" w:eastAsia="楷体_GB2312" w:cs="楷体_GB2312"/>
                <w:kern w:val="2"/>
                <w:sz w:val="24"/>
                <w:szCs w:val="24"/>
                <w:vertAlign w:val="baseline"/>
                <w:lang w:val="en-US" w:eastAsia="zh-CN" w:bidi="ar"/>
              </w:rPr>
            </w:pPr>
            <w:r>
              <w:rPr>
                <w:rFonts w:hint="default" w:ascii="楷体_GB2312" w:hAnsi="楷体_GB2312" w:eastAsia="楷体_GB2312" w:cs="楷体_GB2312"/>
                <w:kern w:val="2"/>
                <w:sz w:val="24"/>
                <w:szCs w:val="24"/>
                <w:vertAlign w:val="baseline"/>
                <w:lang w:val="en-US" w:eastAsia="zh-CN" w:bidi="ar"/>
              </w:rPr>
              <w:t>备注</w:t>
            </w:r>
          </w:p>
        </w:tc>
      </w:tr>
      <w:tr w14:paraId="7F101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trPr>
        <w:tc>
          <w:tcPr>
            <w:tcW w:w="419" w:type="dxa"/>
            <w:vAlign w:val="top"/>
          </w:tcPr>
          <w:p w14:paraId="35369732">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720" w:type="dxa"/>
            <w:vAlign w:val="top"/>
          </w:tcPr>
          <w:p w14:paraId="7C7ADC23">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820" w:type="dxa"/>
            <w:vAlign w:val="top"/>
          </w:tcPr>
          <w:p w14:paraId="590707F7">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890" w:type="dxa"/>
            <w:vAlign w:val="top"/>
          </w:tcPr>
          <w:p w14:paraId="5B37A6EE">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1230" w:type="dxa"/>
            <w:vAlign w:val="top"/>
          </w:tcPr>
          <w:p w14:paraId="1CC9677E">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1580" w:type="dxa"/>
            <w:vAlign w:val="top"/>
          </w:tcPr>
          <w:p w14:paraId="352C4024">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840" w:type="dxa"/>
            <w:vAlign w:val="top"/>
          </w:tcPr>
          <w:p w14:paraId="72CF8B9F">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840" w:type="dxa"/>
            <w:vAlign w:val="top"/>
          </w:tcPr>
          <w:p w14:paraId="08BF688E">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730" w:type="dxa"/>
            <w:vAlign w:val="top"/>
          </w:tcPr>
          <w:p w14:paraId="78C16340">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1180" w:type="dxa"/>
            <w:vAlign w:val="top"/>
          </w:tcPr>
          <w:p w14:paraId="45643CFE">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810" w:type="dxa"/>
            <w:vAlign w:val="top"/>
          </w:tcPr>
          <w:p w14:paraId="67AC7759">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960" w:type="dxa"/>
            <w:vAlign w:val="top"/>
          </w:tcPr>
          <w:p w14:paraId="147A596E">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740" w:type="dxa"/>
            <w:vAlign w:val="top"/>
          </w:tcPr>
          <w:p w14:paraId="56C7E6B2">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720" w:type="dxa"/>
            <w:vAlign w:val="top"/>
          </w:tcPr>
          <w:p w14:paraId="0E29C0DB">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493" w:type="dxa"/>
            <w:vAlign w:val="top"/>
          </w:tcPr>
          <w:p w14:paraId="12BF47BD">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r>
      <w:tr w14:paraId="2D207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419" w:type="dxa"/>
            <w:vAlign w:val="top"/>
          </w:tcPr>
          <w:p w14:paraId="4143814D">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720" w:type="dxa"/>
            <w:vAlign w:val="top"/>
          </w:tcPr>
          <w:p w14:paraId="3F41B874">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820" w:type="dxa"/>
            <w:vAlign w:val="top"/>
          </w:tcPr>
          <w:p w14:paraId="308DD30F">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890" w:type="dxa"/>
            <w:vAlign w:val="top"/>
          </w:tcPr>
          <w:p w14:paraId="32AC210E">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1230" w:type="dxa"/>
            <w:vAlign w:val="top"/>
          </w:tcPr>
          <w:p w14:paraId="36F2C10C">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1580" w:type="dxa"/>
            <w:vAlign w:val="top"/>
          </w:tcPr>
          <w:p w14:paraId="0BB4A623">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840" w:type="dxa"/>
            <w:vAlign w:val="top"/>
          </w:tcPr>
          <w:p w14:paraId="5098C7AB">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840" w:type="dxa"/>
            <w:vAlign w:val="top"/>
          </w:tcPr>
          <w:p w14:paraId="50C9E640">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730" w:type="dxa"/>
            <w:vAlign w:val="top"/>
          </w:tcPr>
          <w:p w14:paraId="30B9F66D">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1180" w:type="dxa"/>
            <w:vAlign w:val="top"/>
          </w:tcPr>
          <w:p w14:paraId="225E67EF">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810" w:type="dxa"/>
            <w:vAlign w:val="top"/>
          </w:tcPr>
          <w:p w14:paraId="08C99B40">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960" w:type="dxa"/>
            <w:vAlign w:val="top"/>
          </w:tcPr>
          <w:p w14:paraId="30952104">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740" w:type="dxa"/>
            <w:vAlign w:val="top"/>
          </w:tcPr>
          <w:p w14:paraId="6646C783">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720" w:type="dxa"/>
            <w:vAlign w:val="top"/>
          </w:tcPr>
          <w:p w14:paraId="24670333">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493" w:type="dxa"/>
            <w:vAlign w:val="top"/>
          </w:tcPr>
          <w:p w14:paraId="4D5D67C1">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r>
      <w:tr w14:paraId="64021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trPr>
        <w:tc>
          <w:tcPr>
            <w:tcW w:w="419" w:type="dxa"/>
            <w:vAlign w:val="top"/>
          </w:tcPr>
          <w:p w14:paraId="445A6FA3">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720" w:type="dxa"/>
            <w:vAlign w:val="top"/>
          </w:tcPr>
          <w:p w14:paraId="5B7015CB">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820" w:type="dxa"/>
            <w:vAlign w:val="top"/>
          </w:tcPr>
          <w:p w14:paraId="607A984B">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890" w:type="dxa"/>
            <w:vAlign w:val="top"/>
          </w:tcPr>
          <w:p w14:paraId="72617A95">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1230" w:type="dxa"/>
            <w:vAlign w:val="top"/>
          </w:tcPr>
          <w:p w14:paraId="7F0BEEEE">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1580" w:type="dxa"/>
            <w:vAlign w:val="top"/>
          </w:tcPr>
          <w:p w14:paraId="52633239">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840" w:type="dxa"/>
            <w:vAlign w:val="top"/>
          </w:tcPr>
          <w:p w14:paraId="15B8BEFA">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840" w:type="dxa"/>
            <w:vAlign w:val="top"/>
          </w:tcPr>
          <w:p w14:paraId="6FDEBDE6">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730" w:type="dxa"/>
            <w:vAlign w:val="top"/>
          </w:tcPr>
          <w:p w14:paraId="7C7CF5D6">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1180" w:type="dxa"/>
            <w:vAlign w:val="top"/>
          </w:tcPr>
          <w:p w14:paraId="6BF787CC">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810" w:type="dxa"/>
            <w:vAlign w:val="top"/>
          </w:tcPr>
          <w:p w14:paraId="685AE1D8">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960" w:type="dxa"/>
            <w:vAlign w:val="top"/>
          </w:tcPr>
          <w:p w14:paraId="7F87F40B">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740" w:type="dxa"/>
            <w:vAlign w:val="top"/>
          </w:tcPr>
          <w:p w14:paraId="32E7D861">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720" w:type="dxa"/>
            <w:vAlign w:val="top"/>
          </w:tcPr>
          <w:p w14:paraId="700E5DF5">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493" w:type="dxa"/>
            <w:vAlign w:val="top"/>
          </w:tcPr>
          <w:p w14:paraId="0CF10F1A">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r>
      <w:tr w14:paraId="053C9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7" w:hRule="atLeast"/>
        </w:trPr>
        <w:tc>
          <w:tcPr>
            <w:tcW w:w="419" w:type="dxa"/>
            <w:vAlign w:val="top"/>
          </w:tcPr>
          <w:p w14:paraId="24678932">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720" w:type="dxa"/>
            <w:vAlign w:val="top"/>
          </w:tcPr>
          <w:p w14:paraId="68F95871">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820" w:type="dxa"/>
            <w:vAlign w:val="top"/>
          </w:tcPr>
          <w:p w14:paraId="335797E5">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890" w:type="dxa"/>
            <w:vAlign w:val="top"/>
          </w:tcPr>
          <w:p w14:paraId="5875DCB6">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1230" w:type="dxa"/>
            <w:vAlign w:val="top"/>
          </w:tcPr>
          <w:p w14:paraId="715A52EB">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1580" w:type="dxa"/>
            <w:vAlign w:val="top"/>
          </w:tcPr>
          <w:p w14:paraId="0B209F1C">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840" w:type="dxa"/>
            <w:vAlign w:val="top"/>
          </w:tcPr>
          <w:p w14:paraId="465966DB">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840" w:type="dxa"/>
            <w:vAlign w:val="top"/>
          </w:tcPr>
          <w:p w14:paraId="09362EE4">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730" w:type="dxa"/>
            <w:vAlign w:val="top"/>
          </w:tcPr>
          <w:p w14:paraId="25459748">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1180" w:type="dxa"/>
            <w:vAlign w:val="top"/>
          </w:tcPr>
          <w:p w14:paraId="49B0C9CA">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810" w:type="dxa"/>
            <w:vAlign w:val="top"/>
          </w:tcPr>
          <w:p w14:paraId="0AA8E71C">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960" w:type="dxa"/>
            <w:vAlign w:val="top"/>
          </w:tcPr>
          <w:p w14:paraId="0967F394">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740" w:type="dxa"/>
            <w:vAlign w:val="top"/>
          </w:tcPr>
          <w:p w14:paraId="17ADA4C2">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720" w:type="dxa"/>
            <w:vAlign w:val="top"/>
          </w:tcPr>
          <w:p w14:paraId="4C3F9D76">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c>
          <w:tcPr>
            <w:tcW w:w="493" w:type="dxa"/>
            <w:vAlign w:val="top"/>
          </w:tcPr>
          <w:p w14:paraId="72B25E4F">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vertAlign w:val="baseline"/>
                <w:lang w:val="en-US" w:eastAsia="zh-CN" w:bidi="ar"/>
              </w:rPr>
            </w:pPr>
          </w:p>
        </w:tc>
      </w:tr>
    </w:tbl>
    <w:p w14:paraId="0C1ED3C4">
      <w:pPr>
        <w:pStyle w:val="3"/>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方正小标宋简体" w:hAnsi="方正小标宋简体" w:eastAsia="方正小标宋简体" w:cs="方正小标宋简体"/>
          <w:kern w:val="2"/>
          <w:sz w:val="44"/>
          <w:szCs w:val="44"/>
          <w:lang w:val="en-US" w:eastAsia="zh-CN" w:bidi="ar"/>
        </w:rPr>
      </w:pPr>
    </w:p>
    <w:sectPr>
      <w:pgSz w:w="16838" w:h="11906" w:orient="landscape"/>
      <w:pgMar w:top="1587" w:right="2098" w:bottom="1474" w:left="1984"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auto"/>
    <w:pitch w:val="default"/>
    <w:sig w:usb0="00000000" w:usb1="00000000" w:usb2="00000000" w:usb3="00000000" w:csb0="80000000" w:csb1="00000000"/>
  </w:font>
  <w:font w:name="KSOF29153A75">
    <w:panose1 w:val="020B0502040204020203"/>
    <w:charset w:val="00"/>
    <w:family w:val="auto"/>
    <w:pitch w:val="default"/>
    <w:sig w:usb0="00000001" w:usb1="00000000" w:usb2="00000000" w:usb3="00000000" w:csb0="00000001" w:csb1="00000000"/>
  </w:font>
  <w:font w:name="KSOF1D5EAB94">
    <w:panose1 w:val="020B0802040204020203"/>
    <w:charset w:val="00"/>
    <w:family w:val="auto"/>
    <w:pitch w:val="default"/>
    <w:sig w:usb0="00000001" w:usb1="00000000" w:usb2="00000000" w:usb3="00000000" w:csb0="00000001"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F5A5E">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BF0FEC">
                          <w:pPr>
                            <w:pStyle w:val="3"/>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2BF0FEC">
                    <w:pPr>
                      <w:pStyle w:val="3"/>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971122"/>
    <w:rsid w:val="02442C41"/>
    <w:rsid w:val="08143BA9"/>
    <w:rsid w:val="0C3C3C66"/>
    <w:rsid w:val="0C9475FE"/>
    <w:rsid w:val="12631F4C"/>
    <w:rsid w:val="176A76B0"/>
    <w:rsid w:val="1B3B716A"/>
    <w:rsid w:val="1C597F1C"/>
    <w:rsid w:val="2DE57862"/>
    <w:rsid w:val="2F195A15"/>
    <w:rsid w:val="32971122"/>
    <w:rsid w:val="3F6525B0"/>
    <w:rsid w:val="45B0448E"/>
    <w:rsid w:val="4AB50890"/>
    <w:rsid w:val="56903F5F"/>
    <w:rsid w:val="59E9158F"/>
    <w:rsid w:val="5A993F96"/>
    <w:rsid w:val="5F816B3B"/>
    <w:rsid w:val="63416D0D"/>
    <w:rsid w:val="6AF32D9B"/>
    <w:rsid w:val="7F5148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index 6"/>
    <w:basedOn w:val="1"/>
    <w:next w:val="1"/>
    <w:qFormat/>
    <w:uiPriority w:val="0"/>
  </w:style>
  <w:style w:type="paragraph" w:styleId="3">
    <w:name w:val="footer"/>
    <w:basedOn w:val="1"/>
    <w:qFormat/>
    <w:uiPriority w:val="0"/>
    <w:pPr>
      <w:tabs>
        <w:tab w:val="center" w:pos="4153"/>
        <w:tab w:val="right" w:pos="8306"/>
      </w:tabs>
      <w:snapToGrid w:val="0"/>
      <w:jc w:val="left"/>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2709</Words>
  <Characters>2754</Characters>
  <Lines>0</Lines>
  <Paragraphs>0</Paragraphs>
  <TotalTime>2</TotalTime>
  <ScaleCrop>false</ScaleCrop>
  <LinksUpToDate>false</LinksUpToDate>
  <CharactersWithSpaces>2763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2026-06-25T02:24:00Z</dcterms:created>
  <dc:creator>笼里人生</dc:creator>
  <cp:lastModifiedBy>笼里人生</cp:lastModifiedBy>
  <dcterms:modified xsi:type="dcterms:W3CDTF">2026-08-13T20:05:47Z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DB40970A932749C988DA951A4934B50E_11</vt:lpwstr>
  </property>
  <property fmtid="{D5CDD505-2E9C-101B-9397-08002B2CF9AE}" pid="4" name="KSOTemplateDocerSaveRecord">
    <vt:lpwstr>eyJoZGlkIjoiMzI5OGMyNmQ5YzBiZmJhNGU1MGIyMWIyYzllZTI3ZmYiLCJ1c2VySWQiOiIyNzk2NDg5MTgifQ==</vt:lpwstr>
  </property>
</Properties>
</file>