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both"/>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both"/>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甘州区飞灰填埋场建设项目建议书</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eastAsiaTheme="minorEastAsia"/>
          <w:lang w:val="en-US" w:eastAsia="zh-CN"/>
        </w:rPr>
      </w:pPr>
      <w:r>
        <w:rPr>
          <w:rFonts w:hint="eastAsia"/>
        </w:rPr>
        <w:t xml:space="preserve"> </w:t>
      </w:r>
      <w:r>
        <w:rPr>
          <w:rFonts w:hint="eastAsia"/>
          <w:lang w:val="en-US" w:eastAsia="zh-CN"/>
        </w:rPr>
        <w:t xml:space="preserve">                          </w:t>
      </w:r>
      <w:bookmarkStart w:id="0" w:name="_GoBack"/>
      <w:r>
        <w:rPr>
          <w:rFonts w:hint="eastAsia" w:ascii="方正小标宋简体" w:hAnsi="方正小标宋简体" w:eastAsia="方正小标宋简体" w:cs="方正小标宋简体"/>
          <w:sz w:val="44"/>
          <w:szCs w:val="44"/>
          <w:lang w:val="en-US" w:eastAsia="zh-CN"/>
        </w:rPr>
        <w:t>（草案）</w:t>
      </w:r>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申报单位：张掖市甘州区住房和城乡建设局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编制日期：2026年</w:t>
      </w: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 xml:space="preserve">一、项目基本情况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 项目名称：甘州区飞灰填埋场建设项目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 项目代码：2602-620702-04-05-774136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 建设地点：甘肃省张掖市甘州区</w:t>
      </w:r>
      <w:r>
        <w:rPr>
          <w:rFonts w:hint="eastAsia" w:ascii="方正仿宋_GB2312" w:hAnsi="方正仿宋_GB2312" w:eastAsia="方正仿宋_GB2312" w:cs="方正仿宋_GB2312"/>
          <w:sz w:val="32"/>
          <w:szCs w:val="32"/>
          <w:lang w:val="en-US" w:eastAsia="zh-CN"/>
        </w:rPr>
        <w:t>垃圾处理中心</w:t>
      </w:r>
      <w:r>
        <w:rPr>
          <w:rFonts w:hint="eastAsia" w:ascii="方正仿宋_GB2312" w:hAnsi="方正仿宋_GB2312" w:eastAsia="方正仿宋_GB2312" w:cs="方正仿宋_GB2312"/>
          <w:sz w:val="32"/>
          <w:szCs w:val="32"/>
        </w:rPr>
        <w:t>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 项目性质：新建市政环保基础设施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2312" w:hAnsi="方正仿宋_GB2312" w:eastAsia="方正仿宋_GB2312" w:cs="方正仿宋_GB2312"/>
          <w:sz w:val="32"/>
          <w:szCs w:val="32"/>
          <w:lang w:val="en-US" w:eastAsia="zh-CN"/>
        </w:rPr>
      </w:pPr>
      <w:r>
        <w:rPr>
          <w:rFonts w:hint="default" w:ascii="方正仿宋_GB2312" w:hAnsi="方正仿宋_GB2312" w:eastAsia="方正仿宋_GB2312" w:cs="方正仿宋_GB2312"/>
          <w:sz w:val="32"/>
          <w:szCs w:val="32"/>
          <w:lang w:val="en-US" w:eastAsia="zh-CN"/>
        </w:rPr>
        <w:t>5. 建设工期：2026年</w:t>
      </w:r>
      <w:r>
        <w:rPr>
          <w:rFonts w:hint="eastAsia" w:ascii="方正仿宋_GB2312" w:hAnsi="方正仿宋_GB2312" w:eastAsia="方正仿宋_GB2312" w:cs="方正仿宋_GB2312"/>
          <w:sz w:val="32"/>
          <w:szCs w:val="32"/>
          <w:lang w:val="en-US" w:eastAsia="zh-CN"/>
        </w:rPr>
        <w:t>10</w:t>
      </w:r>
      <w:r>
        <w:rPr>
          <w:rFonts w:hint="default" w:ascii="方正仿宋_GB2312" w:hAnsi="方正仿宋_GB2312" w:eastAsia="方正仿宋_GB2312" w:cs="方正仿宋_GB2312"/>
          <w:sz w:val="32"/>
          <w:szCs w:val="32"/>
          <w:lang w:val="en-US" w:eastAsia="zh-CN"/>
        </w:rPr>
        <w:t>月—202</w:t>
      </w:r>
      <w:r>
        <w:rPr>
          <w:rFonts w:hint="eastAsia" w:ascii="方正仿宋_GB2312" w:hAnsi="方正仿宋_GB2312" w:eastAsia="方正仿宋_GB2312" w:cs="方正仿宋_GB2312"/>
          <w:sz w:val="32"/>
          <w:szCs w:val="32"/>
          <w:lang w:val="en-US" w:eastAsia="zh-CN"/>
        </w:rPr>
        <w:t>7</w:t>
      </w:r>
      <w:r>
        <w:rPr>
          <w:rFonts w:hint="default" w:ascii="方正仿宋_GB2312" w:hAnsi="方正仿宋_GB2312" w:eastAsia="方正仿宋_GB2312" w:cs="方正仿宋_GB2312"/>
          <w:sz w:val="32"/>
          <w:szCs w:val="32"/>
          <w:lang w:val="en-US" w:eastAsia="zh-CN"/>
        </w:rPr>
        <w:t>年1</w:t>
      </w:r>
      <w:r>
        <w:rPr>
          <w:rFonts w:hint="eastAsia" w:ascii="方正仿宋_GB2312" w:hAnsi="方正仿宋_GB2312" w:eastAsia="方正仿宋_GB2312" w:cs="方正仿宋_GB2312"/>
          <w:sz w:val="32"/>
          <w:szCs w:val="32"/>
          <w:lang w:val="en-US" w:eastAsia="zh-CN"/>
        </w:rPr>
        <w:t>2</w:t>
      </w:r>
      <w:r>
        <w:rPr>
          <w:rFonts w:hint="default" w:ascii="方正仿宋_GB2312" w:hAnsi="方正仿宋_GB2312" w:eastAsia="方正仿宋_GB2312" w:cs="方正仿宋_GB2312"/>
          <w:sz w:val="32"/>
          <w:szCs w:val="32"/>
          <w:lang w:val="en-US" w:eastAsia="zh-CN"/>
        </w:rPr>
        <w:t>月，总工期</w:t>
      </w:r>
      <w:r>
        <w:rPr>
          <w:rFonts w:hint="eastAsia" w:ascii="方正仿宋_GB2312" w:hAnsi="方正仿宋_GB2312" w:eastAsia="方正仿宋_GB2312" w:cs="方正仿宋_GB2312"/>
          <w:sz w:val="32"/>
          <w:szCs w:val="32"/>
          <w:lang w:val="en-US" w:eastAsia="zh-CN"/>
        </w:rPr>
        <w:t>15个月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二、编制依据</w:t>
      </w:r>
      <w:r>
        <w:rPr>
          <w:rFonts w:hint="eastAsia" w:ascii="方正仿宋_GB2312" w:hAnsi="方正仿宋_GB2312" w:eastAsia="方正仿宋_GB2312" w:cs="方正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本项目严格依据《中华人民共和国环境保护法》《中华人民共和国固体废物污染环境防治法》《国家危险废物名录》等法律法规编制，同时遵循《生活垃圾填埋场污染控制标准》（GB 16889-2024）、《危险废物填埋污染控制标准》（GB 18598—2019）、《生活垃圾焚烧飞灰污染控制技术规范（试行）》等国家及行业标准。结合国家、甘肃省、张掖市关于危险废物治理、城镇环境基础设施建设、“无废城市”创建等相关政策文件，以及场区勘察资料、飞灰产生量测算数据、现状运行资料开展编制工作，编制依据充分、合规有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三、项目建设背景及必要性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（一）建设背景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生活垃圾焚烧飞灰属于HW18类危险废物，富含重金属、二噁英等有毒有害物质，处置不当会对土壤、地下水及大气环境造成严重污染，威胁群众身体健康。近年来，国家及地方相继出台新规，明确要求焚烧飞灰必须设置专用填埋设施，严禁与生活垃圾混埋处置。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目前甘州区及周边区域产生的飞灰，暂时在现有生活垃圾填埋场内分区堆放。该填埋场建设年限久，库容逐步趋于饱和，防渗结构、配套设施均达不到危险废物处置的规范要求，存在较大环境隐患。同时，张掖市正在推进生态环境保护督察整改和“无废城市”建设工作，补齐飞灰处置设施短板成为重点任务。为落实各项环保政策标准，化解现有环境风险，完善区域固体废物处置体系，实施本项目十分必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（二）建设必要性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 落实环保法规标准，实现合规运营。按照现行危险废物及垃圾填埋相关标准，飞灰需单独建设专用填埋场处置。现状混埋模式不符合政策要求，存在整改、处罚风险。新建标准化飞灰填埋场，是严格执行法律法规、实现飞灰全流程合规处置的必然选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 消除环境隐患，守护区域生态安全。飞灰污染物毒性强，现有临时堆放方式易产生渗漏、扬尘等污染问题。项目配套高标准防渗、渗滤液收集、防洪等设施，可从源头阻断污染物扩散，有效保护地下水、土壤以及黑河湿地生态环境，筑牢区域生态安全屏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 补齐处置短板，保障固废处置链条完整。随着区域城镇化发展，生活垃圾焚烧产生的飞灰产量保持稳定，当前区域无专用飞灰填埋场地，处置能力存在明显缺口。本项目建成后，可提供稳定合规的处置去向，保障生活垃圾焚烧产业正常运转，健全城乡垃圾处理全链条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 改善人居环境，增进民生福祉。规范飞灰处置作业，能够有效减少恶臭、扬尘等污染，降低有毒有害物质传播风险，改善场区及周边群众生活环境。项目作为生态民生工程，对提升区域环境品质、助力全域旅游发展具有重要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四、主要建设内容及规模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本项目选址于甘州区城市垃圾处理厂内，新建总库容25万立方米飞灰专用填埋场，设计使用年限15年。主要建设内容如下：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 主体填埋工程：开展场地开挖、整平、碾压作业，修建均质碾压土围坝；按照危险废物规范要求建设双层复合防渗系统，配套渗漏检测层、土工布、导流层、反滤层等全套防渗结构，全面满足防渗防漏要求。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 渗滤液及防洪工程：建设300立方米渗滤液调节池，配套完整的渗滤液收集、导排系统；场区设置截洪沟、排洪设施，防洪标准按50年一遇设计、100年一遇校核。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 气体及附属工程：建设填埋气收集、火炬燃烧系统；设置2.5米高防飞散网、2.0米钢丝防护围栏，在场区周边打造生态绿化带。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 作业及配套设施：配置吊车、装载机、洒水车、吸污等专用作业设备；搭建场区数字化管控平台，实现填埋作业、环境监测、设备运维智能化管理。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5. 封场及配套工程：按照规范实施分区填埋、分层覆盖作业，配套日覆盖、中间覆盖、终场覆盖系统，同步建设消杀、消防等附属设施。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场区渗滤液统一收集后，定期转运至垃圾焚烧厂集中处置；全场采用单元式填埋工艺，落实雨污分流措施，最大限度降低污染风险。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五、选址及建设条件</w:t>
      </w:r>
      <w:r>
        <w:rPr>
          <w:rFonts w:hint="eastAsia" w:ascii="方正仿宋_GB2312" w:hAnsi="方正仿宋_GB2312" w:eastAsia="方正仿宋_GB2312" w:cs="方正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本项目选址于甘州区城市垃圾处理厂内、生活垃圾填埋场北侧、垃圾焚烧站东南侧，用地为规划环境卫生设施用地，不新增建设用地，不占用永久基本农田、生态保护红线、文物保护区域，完全符合区域国土空间总体规划和环卫设施布局要求。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场地地势平坦，地质条件稳定，无滑坡、泥石流等不良地质灾害。场址距离垃圾焚烧站直线距离仅1.0公里，飞灰运输距离短，运输成本低。场区现有道路完善，对外交通便捷；市政供水、10kV供电、通讯网络均已接入，可充分满足项目施工及后期运营需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区域水资源、能源供给充足，大气、土壤、地下水环境承载力良好，项目用水、用电量占区域总量占比极低，不会对当地资源及生态造成不利影响，各项建设条件成熟完备。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六、投资估算与资金筹措</w:t>
      </w:r>
      <w:r>
        <w:rPr>
          <w:rFonts w:hint="eastAsia" w:ascii="方正仿宋_GB2312" w:hAnsi="方正仿宋_GB2312" w:eastAsia="方正仿宋_GB2312" w:cs="方正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 投资估算：项目估算总投资2783.10万元。其中工程费用2240.99万元，工程建设其他费用335.96万元，预备费206.16万元。投资依据现行市政、环保工程计价标准及当地市场价格测算，测算结果科学合理。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 资金筹措：本项目资金拟通过中央预算内资金及地方政府配套等多渠道筹措解决。项目属于重点生态环保基础设施，符合上级资金支持方向，地方财政具备配套能力，资金来源稳定，不新增地方政府隐性债务。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七、环境保护、节能、安全及消防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（一）环境保护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本项目属于危险废物规范化处置工程，以污染防控为核心。施工期间，采取围挡、湿法作业、限时施工等措施，严控施工扬尘、噪声、施工废水和建筑垃圾，减少对周边环境影响。运营期间，依靠高标准防渗系统杜绝渗漏风险；渗滤液统一收集转运处置，填埋气集中焚烧处理；作业面及时覆盖、洒水降尘，同步开展常态化环境监测。全场污染物均可实现有效管控，环境影响在可控范围内。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（二）节能降耗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项目优先选用节能型机电设备、作业车辆，优化场区布局与物料运输路线，减少能源损耗。合理规划雨水收集、场地节水设施，提高水资源利用率。所有建设及运营环节均严格落实国家节能降耗相关要求，节能措施切实可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（三）劳动安全与消防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场区设置规范安全警示标识、防护围栏，作业人员配齐专业劳保用品。针对危险废物接触、填埋气积聚、机械作业等风险，制定专项操作规程与应急预案。按照消防规范配齐消防器材、应急通道，定期开展安全培训和应急演练，全面防范安全事故发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八、效益分析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（一）环境效益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项目建成后，实现飞灰100%独立、规范化填埋，彻底解决原有混埋、临时堆放造成的土壤、地下水、大气污染问题。高标准防渗、导排、防洪体系可长效阻断有毒有害物质扩散，保护黑河流域生态环境。同时，通过废气、扬尘管控和生态绿化，持续改善区域环境质量，助力“无废城市”创建和生态环境保护督察整改落地，生态效益十分显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（二）社会效益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项目补齐区域危险废物处置设施短板，完善城市环境卫生基础设施体系，保障生活垃圾焚烧产业稳定运行。有效消除公共卫生安全隐患，保障周边居民身体健康。项目建设和运营过程中，可提供临时及长期就业岗位，带动地方劳务就业。同时，项目可作为环保宣传示范阵地，提升群众生态保护意识，推动社会和谐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（三）经济效益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项目为公益性市政环保工程，无直接经营收益，但间接经济效益突出。可大幅规避因违规处置产生的环保罚款、生态修复等高额费用；依托现有厂区建设，节约征地、场外配套等大额投资。优良的生态环境能够持续优化区域营商环境，助推文旅、特色产业发展，为地方经济长远发展奠定坚实基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九、风险分析与防控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项目在建设及运营阶段，主要存在工程施工、环境、资金、运营等潜在风险。项目实施期间，将择优选择资质齐全、经验丰富的设计、施工及监理单位，强化防渗、围坝等关键工序管控，严把工程质量；常态化开展防渗、水质、气体监测，配齐应急物资与预案，严防环境风险；加强与财政、上级部门对接，保障资金及时足额到位，实行专户管理、专款专用；建立设备常态化维保和人员培训制度，规范日常作业流程。综合各项管控举措，项目各类风险均处于可控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十、结论与建议</w:t>
      </w:r>
      <w:r>
        <w:rPr>
          <w:rFonts w:hint="eastAsia" w:ascii="方正仿宋_GB2312" w:hAnsi="方正仿宋_GB2312" w:eastAsia="方正仿宋_GB2312" w:cs="方正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（一）结论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本项目符合国家、省、市关于生态文明建设、危险废物治理、城镇环境基础设施建设的各项政策及规划要求。项目选址合理，建设方案技术成熟，建设条件优越，投资测算精准，资金筹措方案可行，各类风险可控。项目实施可彻底解决区域飞灰处置不规范的突出问题，生态、社会及综合效益显著，项目建设十分必要，具备全面实施条件。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 恳请上级主管部门尽快对本项目建议书予以批复，同意项目立项实施。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 加快推进可行性研究、规划选址、环评、用地等各项前期手续，依法依规开展工程招投标工作。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 项目建设全过程严格把控工程质量、安全生产、文明施工与生态保护，严格执行投资概算，严禁随意变更设计、扩大建设规模。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 项目建成后，建立长效运营、监测和管护机制，加强设备运维与人员管理，确保设施长期稳定合规运行，充分发挥项目综合效益。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520" w:firstLineChars="11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张掖市甘州区住房和城乡建设局</w:t>
      </w: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default" w:eastAsiaTheme="minorEastAsia"/>
          <w:lang w:val="en-US" w:eastAsia="zh-CN"/>
        </w:rPr>
      </w:pPr>
      <w:r>
        <w:rPr>
          <w:rFonts w:hint="eastAsia" w:ascii="方正仿宋_GB2312" w:hAnsi="方正仿宋_GB2312" w:eastAsia="方正仿宋_GB2312" w:cs="方正仿宋_GB2312"/>
          <w:sz w:val="32"/>
          <w:szCs w:val="32"/>
        </w:rPr>
        <w:t>2026年</w:t>
      </w:r>
      <w:r>
        <w:rPr>
          <w:rFonts w:hint="eastAsia" w:ascii="方正仿宋_GB2312" w:hAnsi="方正仿宋_GB2312" w:eastAsia="方正仿宋_GB2312" w:cs="方正仿宋_GB2312"/>
          <w:sz w:val="32"/>
          <w:szCs w:val="32"/>
          <w:lang w:val="en-US" w:eastAsia="zh-CN"/>
        </w:rPr>
        <w:t>7</w:t>
      </w:r>
      <w:r>
        <w:rPr>
          <w:rFonts w:hint="eastAsia" w:ascii="方正仿宋_GB2312" w:hAnsi="方正仿宋_GB2312" w:eastAsia="方正仿宋_GB2312" w:cs="方正仿宋_GB2312"/>
          <w:sz w:val="32"/>
          <w:szCs w:val="32"/>
        </w:rPr>
        <w:t>月</w:t>
      </w:r>
      <w:r>
        <w:rPr>
          <w:rFonts w:hint="eastAsia" w:ascii="方正仿宋_GB2312" w:hAnsi="方正仿宋_GB2312" w:eastAsia="方正仿宋_GB2312" w:cs="方正仿宋_GB2312"/>
          <w:sz w:val="32"/>
          <w:szCs w:val="32"/>
          <w:lang w:val="en-US" w:eastAsia="zh-CN"/>
        </w:rPr>
        <w:t>31日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E6D5CA-F380-4B3C-85CA-1A65C3B91F4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483B90A5-9193-45BF-8A50-69DBC66E0BE7}"/>
  </w:font>
  <w:font w:name="方正仿宋_GB2312">
    <w:panose1 w:val="02000000000000000000"/>
    <w:charset w:val="86"/>
    <w:family w:val="auto"/>
    <w:pitch w:val="default"/>
    <w:sig w:usb0="A00002BF" w:usb1="184F6CFA" w:usb2="00000012" w:usb3="00000000" w:csb0="00040001" w:csb1="00000000"/>
    <w:embedRegular r:id="rId3" w:fontKey="{011F5D7E-9320-49A1-B702-35DBD0705F9E}"/>
  </w:font>
  <w:font w:name="方正小标宋简体">
    <w:panose1 w:val="02000000000000000000"/>
    <w:charset w:val="86"/>
    <w:family w:val="auto"/>
    <w:pitch w:val="default"/>
    <w:sig w:usb0="00000001" w:usb1="08000000" w:usb2="00000000" w:usb3="00000000" w:csb0="00040000" w:csb1="00000000"/>
    <w:embedRegular r:id="rId4" w:fontKey="{438109D9-2AC4-49FA-9BBA-4142BFEE47D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yNDYzZWZjZDRjN2MwNTJjOTA1NjU1NmQ5MDM5YTcifQ=="/>
  </w:docVars>
  <w:rsids>
    <w:rsidRoot w:val="00000000"/>
    <w:rsid w:val="04B066A1"/>
    <w:rsid w:val="21BF41CF"/>
    <w:rsid w:val="40B2688A"/>
    <w:rsid w:val="68526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3564</Words>
  <Characters>3685</Characters>
  <Lines>0</Lines>
  <Paragraphs>0</Paragraphs>
  <TotalTime>340</TotalTime>
  <ScaleCrop>false</ScaleCrop>
  <LinksUpToDate>false</LinksUpToDate>
  <CharactersWithSpaces>3733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2026-06-11T09:55:00Z</dcterms:created>
  <dc:creator>Administrator</dc:creator>
  <cp:lastModifiedBy>鹰飞</cp:lastModifiedBy>
  <cp:lastPrinted>2026-07-31T02:19:00Z</cp:lastPrinted>
  <dcterms:modified xsi:type="dcterms:W3CDTF">2026-08-06T01:07:01Z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TemplateDocerSaveRecord">
    <vt:lpwstr>eyJoZGlkIjoiNWM5ODc2NGQxN2MxYjVjOGU4MTEzNThkZDBiOWFiZGIiLCJ1c2VySWQiOiIyNTU0Nzk4MjIifQ==</vt:lpwstr>
  </property>
  <property fmtid="{D5CDD505-2E9C-101B-9397-08002B2CF9AE}" pid="4" name="ICV">
    <vt:lpwstr>CED9472CDD634C3682CCEDC6B410B9D0_12</vt:lpwstr>
  </property>
</Properties>
</file>