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6677A">
      <w:pPr>
        <w:snapToGrid w:val="0"/>
        <w:spacing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4"/>
          <w:lang w:val="en-US" w:eastAsia="zh-CN"/>
          <w14:textFill>
            <w14:solidFill>
              <w14:schemeClr w14:val="tx1"/>
            </w14:solidFill>
          </w14:textFill>
        </w:rPr>
        <w:t>甘州区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劳务工作要点</w:t>
      </w:r>
    </w:p>
    <w:p w14:paraId="5017F366"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bookmarkEnd w:id="3"/>
    <w:p w14:paraId="134AE5FD">
      <w:pPr>
        <w:pStyle w:val="2"/>
        <w:snapToGrid w:val="0"/>
        <w:spacing w:line="600" w:lineRule="exact"/>
        <w:contextualSpacing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750A5F">
      <w:pPr>
        <w:pStyle w:val="2"/>
        <w:snapToGrid w:val="0"/>
        <w:spacing w:beforeLines="20" w:line="600" w:lineRule="exact"/>
        <w:ind w:firstLine="664" w:firstLineChars="200"/>
        <w:contextualSpacing/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  <w:t>2025年，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甘州区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  <w:t>劳务工作坚持以习近平新时代中国特色社会主义思想为指导，深入贯彻党的二十大和二十届二中、三中全会精神，全面落实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甘州区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  <w:t>人力资源和社会保障工作暨党风廉政建设工作会议精神，持续优化输转就业服务，着力构建双向流动、互融互通的城乡就业格局，促进城乡劳动力多渠道输转就业，实现劳务收入稳定增长。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  <w:t>输转城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  <w:t>富余劳动力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7.91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万人，实现劳务收入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24.6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  <w:t>亿元，输转有就业意愿的脱贫劳动力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32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3FDADD2F">
      <w:pPr>
        <w:snapToGrid w:val="0"/>
        <w:spacing w:line="600" w:lineRule="exact"/>
        <w:ind w:firstLine="640" w:firstLineChars="200"/>
        <w:contextualSpacing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一、拓展基地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、巩固渠道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，促进稳定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有序输转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就业。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坚持“保障本地、稳定西北、拓展东南、辐射全国”的劳务输转思路，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加强与新疆、西藏和青海等省区劳务对接合作，</w:t>
      </w:r>
      <w:bookmarkStart w:id="1" w:name="OLE_LINK1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增强就业服务能力，促进当地务工人员稳定就业。深化定西、天水、平凉劳务协作，推动常态化跨区域季节性务工岗位信息共享、劳动力流通、劳务对接交流</w:t>
      </w:r>
      <w:bookmarkEnd w:id="1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，促进省内输转畅通有序。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与劳务协作地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用工信息共享，保障阶段性行业用工需求，为全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经济社会高质量发展提供强有力劳动力支撑。</w:t>
      </w:r>
    </w:p>
    <w:p w14:paraId="025EE68B">
      <w:pPr>
        <w:snapToGrid w:val="0"/>
        <w:spacing w:line="600" w:lineRule="exact"/>
        <w:ind w:firstLine="640"/>
        <w:contextualSpacing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紧扣产业、突出特色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壮大劳务品牌带动规模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按照“分类培育、重点支持、龙头带动、创新发展”的思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路，做强已有品牌、培育新生品牌，推动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劳务品牌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升级提质。聚焦强化文旅产业支撑，围绕“张掖小饭”“甘州臊面”等非遗特色美食，吸纳民乐火亭子、山丹拨鱼子、临泽蒸饼等特色面食，加强劳务品牌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培训，打造“金张掖面师”餐饮行业劳务品牌，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壮大特色餐饮劳动者队伍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抢抓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促进家政服务消费扩容升级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机遇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强化“丹霞妹”家政劳务品牌从业人员技能培训，提高从业水平和职业素养，推动家政行业劳务品牌整合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壮大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创“金张掖面师”“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甘州新农人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”省级劳务品牌。</w:t>
      </w:r>
    </w:p>
    <w:p w14:paraId="3ACE79F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优化服务、强化管理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推动零工服务提质增效</w:t>
      </w:r>
      <w:r>
        <w:rPr>
          <w:rFonts w:ascii="Times New Roman" w:hAnsi="Times New Roman"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完善零工市场（驿站）规范化运营管理制度体系，建立运行情况双月调度机制，落实属地管理责任，加强日常管理和监督指导，持续优化提升零工市场（驿站）线上线下、高效快捷服务能力。开展零工市场（驿站）比服务、比规范、比成效活动，打造服务质效看得见、服务模式可推广的零工市场1个、零工驿站2个。</w:t>
      </w:r>
    </w:p>
    <w:p w14:paraId="2E6257A6">
      <w:pPr>
        <w:snapToGrid w:val="0"/>
        <w:spacing w:line="600" w:lineRule="exact"/>
        <w:ind w:firstLine="640" w:firstLineChars="200"/>
        <w:contextualSpacing/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服务创业、激发动能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增强创业示范带动能力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认真落实返乡创业支持政策，构筑返乡创业“政策扶持、示范引领、创业培训、典型带动”支撑体系。在农民工返乡创业平台（示范基地）、乡村就业工厂（帮扶车间）、乡村创业领头雁中好中培优，打造农民工返乡创业优秀平台1个以上、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乡村就业工厂（扶贫车间）1个以上、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乡村创业领头雁2名以上，培树一批创业示范“排头兵”。</w:t>
      </w:r>
    </w:p>
    <w:p w14:paraId="0256A260">
      <w:pPr>
        <w:snapToGrid w:val="0"/>
        <w:spacing w:line="600" w:lineRule="exact"/>
        <w:ind w:firstLine="640" w:firstLineChars="200"/>
        <w:contextualSpacing/>
        <w:rPr>
          <w:rFonts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深化帮扶、力求实效，拓展脱贫就业帮扶成果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认真履行转移就业专责组办公室职责，深入贯彻巩固拓展脱贫攻坚成果决策部署，全面落实就业帮扶政策，健全完善就业帮扶长效机制，</w:t>
      </w:r>
      <w:r>
        <w:rPr>
          <w:rFonts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通过就业工厂（帮扶车间）吸纳、就业技能提升、公岗兜底安置、落实就业奖补资金</w:t>
      </w:r>
      <w:r>
        <w:rPr>
          <w:rFonts w:hint="eastAsia"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等措施，持续构建就业帮扶部门贯通联动的工作格局，促进脱贫劳动力稳定就业、持续增收。要全面梳理总结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巩固脱贫攻坚成果同乡村振兴有效衔接</w:t>
      </w:r>
      <w:r>
        <w:rPr>
          <w:rFonts w:hint="eastAsia"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五年过渡期取得的成绩，充分展示就业帮扶工作成效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持续深化乡村振兴领域就业帮扶方面不正之风和腐败问题专项整治，坚持</w:t>
      </w:r>
      <w:bookmarkStart w:id="2" w:name="OLE_LINK7"/>
      <w:r>
        <w:rPr>
          <w:rFonts w:hint="eastAsia"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问题导向</w:t>
      </w:r>
      <w:bookmarkEnd w:id="2"/>
      <w:r>
        <w:rPr>
          <w:rFonts w:hint="eastAsia"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、举一反三，严格整治各级督查检查审计发现和自身查找出的问题，确保就业帮扶工作政策不走样、责任不落空、工作不跑偏。</w:t>
      </w:r>
    </w:p>
    <w:p w14:paraId="3DBAEF40">
      <w:pPr>
        <w:snapToGrid w:val="0"/>
        <w:spacing w:line="60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0C5101">
      <w:pPr>
        <w:snapToGrid w:val="0"/>
        <w:spacing w:line="60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附件：甘州区2025年劳务经济发展评价指标分解表</w:t>
      </w:r>
    </w:p>
    <w:p w14:paraId="0AF603EB">
      <w:pPr>
        <w:pStyle w:val="2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3848BA"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3D6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/>
          <w:b w:val="0"/>
          <w:i w:val="0"/>
          <w:strike w:val="0"/>
          <w:color w:val="000000" w:themeColor="text1"/>
          <w:spacing w:val="0"/>
          <w:w w:val="100"/>
          <w:sz w:val="32"/>
          <w:u w:val="single" w:color="auto"/>
          <w:lang w:val="en-US"/>
          <w14:textFill>
            <w14:solidFill>
              <w14:schemeClr w14:val="tx1"/>
            </w14:solidFill>
          </w14:textFill>
        </w:rPr>
      </w:pPr>
    </w:p>
    <w:p w14:paraId="4AF60F24"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54D92">
    <w:pPr>
      <w:pStyle w:val="3"/>
      <w:jc w:val="right"/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5 -</w:t>
    </w:r>
    <w:r>
      <w:rPr>
        <w:rFonts w:asci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B0F3E">
    <w:pPr>
      <w:pStyle w:val="3"/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6 -</w:t>
    </w:r>
    <w:r>
      <w:rPr>
        <w:rFonts w:asci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1557E"/>
    <w:rsid w:val="2B1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sz w:val="2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2025-08-29T07:55:00Z</dcterms:created>
  <dc:creator>杨晓慧</dc:creator>
  <cp:lastModifiedBy>杨晓慧</cp:lastModifiedBy>
  <dcterms:modified xsi:type="dcterms:W3CDTF">2025-08-29T07:57:09Z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1C9E3F29F5E04E7B93254750C8DBDC43_11</vt:lpwstr>
  </property>
  <property fmtid="{D5CDD505-2E9C-101B-9397-08002B2CF9AE}" pid="4" name="KSOTemplateDocerSaveRecord">
    <vt:lpwstr>eyJoZGlkIjoiNDFjMzNmODQwNGIxNjllYThhYmNlM2VjMTYyNzdjYTAiLCJ1c2VySWQiOiIyODE4ODc1NDUifQ==</vt:lpwstr>
  </property>
</Properties>
</file>