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72C3C">
      <w:pPr>
        <w:spacing w:line="620" w:lineRule="exact"/>
        <w:ind w:firstLine="5440" w:firstLineChars="1700"/>
        <w:rPr>
          <w:rFonts w:hint="default" w:ascii="仿宋_GB2312" w:hAnsi="仿宋_GB2312" w:eastAsia="仿宋_GB2312" w:cs="仿宋_GB2312"/>
          <w:kern w:val="21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合同编号：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>GZN.2026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u w:val="single"/>
          <w:lang w:val="en-US" w:eastAsia="zh-CN"/>
        </w:rPr>
        <w:t xml:space="preserve">  </w:t>
      </w:r>
    </w:p>
    <w:p w14:paraId="14C74FE6">
      <w:pPr>
        <w:pStyle w:val="2"/>
        <w:rPr>
          <w:rFonts w:hint="eastAsia"/>
          <w:lang w:val="en-US" w:eastAsia="zh-CN"/>
        </w:rPr>
      </w:pPr>
    </w:p>
    <w:p w14:paraId="0017E583">
      <w:pPr>
        <w:pStyle w:val="2"/>
        <w:rPr>
          <w:rFonts w:hint="eastAsia"/>
          <w:lang w:val="en-US" w:eastAsia="zh-CN"/>
        </w:rPr>
      </w:pPr>
    </w:p>
    <w:p w14:paraId="3FFD8875">
      <w:pPr>
        <w:spacing w:line="620" w:lineRule="exact"/>
        <w:jc w:val="center"/>
        <w:rPr>
          <w:rFonts w:hint="eastAsia" w:ascii="宋体" w:hAnsi="宋体" w:eastAsia="宋体" w:cs="宋体"/>
          <w:b w:val="0"/>
          <w:bCs w:val="0"/>
          <w:kern w:val="2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52"/>
          <w:szCs w:val="52"/>
          <w:lang w:eastAsia="zh-CN"/>
        </w:rPr>
        <w:t>甘州区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52"/>
          <w:szCs w:val="52"/>
          <w:lang w:val="en-US" w:eastAsia="zh-CN"/>
        </w:rPr>
        <w:t>2026年供销合作社系统中央财政农业社会化服务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52"/>
          <w:szCs w:val="52"/>
        </w:rPr>
        <w:t>托管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52"/>
          <w:szCs w:val="52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52"/>
          <w:szCs w:val="52"/>
        </w:rPr>
        <w:t>合同</w:t>
      </w:r>
    </w:p>
    <w:p w14:paraId="25BD2D24">
      <w:pPr>
        <w:spacing w:line="620" w:lineRule="exact"/>
        <w:jc w:val="center"/>
        <w:rPr>
          <w:rFonts w:hint="default" w:ascii="方正小标宋简体" w:hAnsi="方正小标宋简体" w:eastAsia="方正小标宋简体" w:cs="方正小标宋简体"/>
          <w:kern w:val="21"/>
          <w:sz w:val="44"/>
          <w:szCs w:val="44"/>
        </w:rPr>
      </w:pPr>
    </w:p>
    <w:p w14:paraId="3409F043">
      <w:pPr>
        <w:spacing w:line="620" w:lineRule="exact"/>
        <w:jc w:val="center"/>
        <w:rPr>
          <w:rFonts w:hint="default" w:ascii="方正小标宋简体" w:hAnsi="方正小标宋简体" w:eastAsia="方正小标宋简体" w:cs="方正小标宋简体"/>
          <w:kern w:val="21"/>
          <w:sz w:val="44"/>
          <w:szCs w:val="44"/>
        </w:rPr>
      </w:pPr>
    </w:p>
    <w:p w14:paraId="4FF2653F">
      <w:pPr>
        <w:spacing w:line="620" w:lineRule="exact"/>
        <w:jc w:val="center"/>
        <w:rPr>
          <w:rFonts w:hint="default" w:ascii="方正小标宋简体" w:hAnsi="方正小标宋简体" w:eastAsia="方正小标宋简体" w:cs="方正小标宋简体"/>
          <w:kern w:val="21"/>
          <w:sz w:val="44"/>
          <w:szCs w:val="44"/>
        </w:rPr>
      </w:pPr>
    </w:p>
    <w:p w14:paraId="50B1AB9C">
      <w:pPr>
        <w:spacing w:line="620" w:lineRule="exact"/>
        <w:jc w:val="center"/>
        <w:rPr>
          <w:rFonts w:hint="default" w:ascii="方正小标宋简体" w:hAnsi="方正小标宋简体" w:eastAsia="方正小标宋简体" w:cs="方正小标宋简体"/>
          <w:kern w:val="21"/>
          <w:sz w:val="44"/>
          <w:szCs w:val="44"/>
        </w:rPr>
      </w:pPr>
    </w:p>
    <w:p w14:paraId="084F14ED">
      <w:pPr>
        <w:pStyle w:val="2"/>
        <w:rPr>
          <w:rFonts w:hint="default" w:ascii="方正小标宋简体" w:hAnsi="方正小标宋简体" w:eastAsia="方正小标宋简体" w:cs="方正小标宋简体"/>
          <w:kern w:val="21"/>
          <w:sz w:val="44"/>
          <w:szCs w:val="44"/>
        </w:rPr>
      </w:pPr>
    </w:p>
    <w:p w14:paraId="07880F11">
      <w:pPr>
        <w:pStyle w:val="2"/>
        <w:rPr>
          <w:rFonts w:hint="default" w:ascii="方正小标宋简体" w:hAnsi="方正小标宋简体" w:eastAsia="方正小标宋简体" w:cs="方正小标宋简体"/>
          <w:kern w:val="21"/>
          <w:sz w:val="44"/>
          <w:szCs w:val="44"/>
        </w:rPr>
      </w:pPr>
    </w:p>
    <w:p w14:paraId="706D8F1D">
      <w:pPr>
        <w:pStyle w:val="2"/>
        <w:rPr>
          <w:rFonts w:hint="default" w:ascii="方正小标宋简体" w:hAnsi="方正小标宋简体" w:eastAsia="方正小标宋简体" w:cs="方正小标宋简体"/>
          <w:kern w:val="21"/>
          <w:sz w:val="44"/>
          <w:szCs w:val="44"/>
        </w:rPr>
      </w:pPr>
    </w:p>
    <w:p w14:paraId="2208C75F">
      <w:pPr>
        <w:spacing w:line="620" w:lineRule="exact"/>
        <w:rPr>
          <w:rFonts w:hint="eastAsia" w:ascii="仿宋_GB2312" w:hAnsi="仿宋_GB2312" w:eastAsia="仿宋_GB2312" w:cs="仿宋_GB2312"/>
          <w:kern w:val="21"/>
          <w:sz w:val="32"/>
          <w:szCs w:val="32"/>
        </w:rPr>
      </w:pPr>
    </w:p>
    <w:p w14:paraId="52FEF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auto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kern w:val="21"/>
          <w:sz w:val="32"/>
          <w:szCs w:val="32"/>
        </w:rPr>
      </w:pPr>
    </w:p>
    <w:p w14:paraId="23620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auto"/>
        <w:ind w:left="638" w:leftChars="304" w:right="210" w:rightChars="100" w:firstLine="0" w:firstLineChars="0"/>
        <w:textAlignment w:val="auto"/>
        <w:rPr>
          <w:rStyle w:val="9"/>
          <w:rFonts w:hint="default"/>
          <w:b/>
          <w:bCs/>
          <w:spacing w:val="-6"/>
          <w:w w:val="90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b/>
          <w:bCs/>
          <w:spacing w:val="-6"/>
          <w:w w:val="90"/>
          <w:kern w:val="21"/>
          <w:sz w:val="32"/>
          <w:szCs w:val="32"/>
        </w:rPr>
        <w:t>（接受服务方）：</w:t>
      </w:r>
      <w:r>
        <w:rPr>
          <w:rStyle w:val="9"/>
          <w:rFonts w:hint="eastAsia"/>
          <w:b/>
          <w:bCs/>
          <w:spacing w:val="-6"/>
          <w:w w:val="90"/>
          <w:sz w:val="28"/>
          <w:szCs w:val="36"/>
          <w:u w:val="single"/>
          <w:lang w:val="en-US" w:eastAsia="zh-CN"/>
        </w:rPr>
        <w:t xml:space="preserve">                                     </w:t>
      </w:r>
    </w:p>
    <w:p w14:paraId="72BDD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auto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pacing w:val="-6"/>
          <w:w w:val="90"/>
          <w:kern w:val="21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b/>
          <w:bCs/>
          <w:spacing w:val="-6"/>
          <w:w w:val="90"/>
          <w:kern w:val="21"/>
          <w:sz w:val="32"/>
          <w:szCs w:val="32"/>
        </w:rPr>
        <w:t>（提供服务方）：</w:t>
      </w:r>
      <w:r>
        <w:rPr>
          <w:rFonts w:hint="eastAsia" w:ascii="仿宋_GB2312" w:hAnsi="仿宋_GB2312" w:eastAsia="仿宋_GB2312" w:cs="仿宋_GB2312"/>
          <w:b/>
          <w:bCs/>
          <w:spacing w:val="-6"/>
          <w:w w:val="90"/>
          <w:kern w:val="21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77546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auto"/>
        <w:ind w:left="638" w:leftChars="304" w:firstLine="0" w:firstLineChars="0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1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eastAsia="zh-CN"/>
        </w:rPr>
        <w:t>签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eastAsia="zh-CN"/>
        </w:rPr>
        <w:t>订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eastAsia="zh-CN"/>
        </w:rPr>
        <w:t>间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kern w:val="21"/>
          <w:sz w:val="32"/>
          <w:szCs w:val="32"/>
          <w:lang w:val="en-US" w:eastAsia="zh-CN"/>
        </w:rPr>
        <w:t>日</w:t>
      </w:r>
    </w:p>
    <w:p w14:paraId="3E9E3289">
      <w:pPr>
        <w:spacing w:line="620" w:lineRule="exact"/>
        <w:jc w:val="center"/>
        <w:rPr>
          <w:rFonts w:hint="eastAsia" w:ascii="楷体_GB2312" w:hAnsi="楷体_GB2312" w:eastAsia="楷体_GB2312" w:cs="楷体_GB2312"/>
          <w:kern w:val="21"/>
          <w:sz w:val="44"/>
          <w:szCs w:val="44"/>
          <w:lang w:eastAsia="zh-CN"/>
        </w:rPr>
      </w:pPr>
    </w:p>
    <w:p w14:paraId="3B99F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21"/>
          <w:sz w:val="32"/>
          <w:szCs w:val="32"/>
        </w:rPr>
      </w:pPr>
    </w:p>
    <w:p w14:paraId="6A431611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03812104">
      <w:pPr>
        <w:widowControl w:val="0"/>
        <w:spacing w:line="620" w:lineRule="exact"/>
        <w:jc w:val="center"/>
        <w:rPr>
          <w:rFonts w:hint="default" w:ascii="宋体" w:hAnsi="宋体" w:eastAsia="宋体" w:cs="宋体"/>
          <w:b w:val="0"/>
          <w:bCs w:val="0"/>
          <w:kern w:val="21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36"/>
          <w:szCs w:val="36"/>
          <w:lang w:val="en-US" w:eastAsia="zh-CN" w:bidi="ar-SA"/>
        </w:rPr>
        <w:t>甘州区2026年供销合作社系统中央财政农业社会化服务项目托管服务合同</w:t>
      </w:r>
    </w:p>
    <w:p w14:paraId="2A47C066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合同编号：</w:t>
      </w:r>
      <w:r>
        <w:rPr>
          <w:rFonts w:hint="eastAsia" w:cs="Times New Roman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Times New Roman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4BCCFD9B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甲方（接受服务方）：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 w14:paraId="4EEE89D7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0" w:firstLineChars="0"/>
        <w:textAlignment w:val="auto"/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14:textFill>
            <w14:solidFill>
              <w14:schemeClr w14:val="tx1"/>
            </w14:solidFill>
          </w14:textFill>
        </w:rPr>
        <w:t>法定代表人及身份证号：</w:t>
      </w:r>
      <w:r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474DE60D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0" w:firstLineChars="0"/>
        <w:textAlignment w:val="auto"/>
        <w:rPr>
          <w:rFonts w:hint="default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70E666C4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0" w:firstLineChars="0"/>
        <w:textAlignment w:val="auto"/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p w14:paraId="451DE093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0" w:firstLineChars="0"/>
        <w:textAlignment w:val="auto"/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（提供服务方）</w:t>
      </w:r>
      <w:r>
        <w:rPr>
          <w:rFonts w:hint="eastAsia" w:cs="Times New Roman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Times New Roman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</w:p>
    <w:p w14:paraId="4CF1A7ED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14:textFill>
            <w14:solidFill>
              <w14:schemeClr w14:val="tx1"/>
            </w14:solidFill>
          </w14:textFill>
        </w:rPr>
        <w:t>法定代表人及身份证号：</w:t>
      </w:r>
      <w:r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</w:p>
    <w:p w14:paraId="698B7253">
      <w:pPr>
        <w:keepNext w:val="0"/>
        <w:keepLines w:val="0"/>
        <w:pageBreakBefore w:val="0"/>
        <w:widowControl w:val="0"/>
        <w:kinsoku/>
        <w:topLinePunct w:val="0"/>
        <w:bidi w:val="0"/>
        <w:spacing w:line="4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407CAC46">
      <w:pPr>
        <w:keepNext w:val="0"/>
        <w:keepLines w:val="0"/>
        <w:pageBreakBefore w:val="0"/>
        <w:widowControl w:val="0"/>
        <w:kinsoku/>
        <w:topLinePunct w:val="0"/>
        <w:bidi w:val="0"/>
        <w:spacing w:line="480" w:lineRule="exact"/>
        <w:ind w:firstLine="0" w:firstLineChars="0"/>
        <w:textAlignment w:val="auto"/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cs="Times New Roman"/>
          <w:b w:val="0"/>
          <w:bCs w:val="0"/>
          <w:color w:val="000000" w:themeColor="text1"/>
          <w:kern w:val="2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p w14:paraId="73F8A27A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根据有关法律法规及政策规定，甲乙双方本着平等、自愿、有偿的原则，就农业生产托管服务有关事项协商一致，订立本合同。</w:t>
      </w:r>
    </w:p>
    <w:p w14:paraId="172DF17B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一、服务内容</w:t>
      </w:r>
    </w:p>
    <w:p w14:paraId="4AC04F2C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甲方将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28"/>
          <w:szCs w:val="28"/>
        </w:rPr>
        <w:t>县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（区）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乡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（镇）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none"/>
          <w:lang w:val="en-US" w:eastAsia="zh-CN"/>
        </w:rPr>
        <w:t>村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社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的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亩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小麦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大田玉米 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制种玉米 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马铃薯 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棉花 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油菜）作物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委托给乙方开展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全托管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多环节托管（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耕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种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防 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收）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服务。</w:t>
      </w:r>
    </w:p>
    <w:p w14:paraId="30206457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二、服务标准</w:t>
      </w:r>
    </w:p>
    <w:p w14:paraId="05555C4B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甲乙双方就服务的技术标准、质量标准等协商达成约定，按照《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甘州区2026年供销合作社系统中央财政农业社会化服务项目实施方案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》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《农业生产托管服务标准指引》中规定的标准执行。</w:t>
      </w:r>
    </w:p>
    <w:p w14:paraId="771027F4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三、服务期限</w:t>
      </w:r>
    </w:p>
    <w:p w14:paraId="3E871A2D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乙方根据农时需要和生产技术要求，在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日至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日期间完成甲方委托的作物环节的生产托管服务。（如乙方提供的生产托管服务需在不同时间内进行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甲方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可根据实际情况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与乙方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约定具体服务时间。）</w:t>
      </w:r>
    </w:p>
    <w:p w14:paraId="3CE91929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772D545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四、服务费用</w:t>
      </w:r>
    </w:p>
    <w:tbl>
      <w:tblPr>
        <w:tblStyle w:val="7"/>
        <w:tblW w:w="10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018"/>
        <w:gridCol w:w="1097"/>
        <w:gridCol w:w="1264"/>
        <w:gridCol w:w="1282"/>
        <w:gridCol w:w="1282"/>
        <w:gridCol w:w="1247"/>
        <w:gridCol w:w="1361"/>
      </w:tblGrid>
      <w:tr w14:paraId="1FA22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D19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作物</w:t>
            </w:r>
          </w:p>
          <w:p w14:paraId="6865D9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种类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35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服务项目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821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面积</w:t>
            </w:r>
          </w:p>
          <w:p w14:paraId="67783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（亩）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D11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市场参考价格</w:t>
            </w:r>
          </w:p>
          <w:p w14:paraId="099A5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（元/亩）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F7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要求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37D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服务费用</w:t>
            </w:r>
            <w:r>
              <w:rPr>
                <w:rFonts w:hint="eastAsia" w:cs="Times New Roman"/>
                <w:b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合计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（元）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A1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财政资金补助标准</w:t>
            </w:r>
          </w:p>
          <w:p w14:paraId="4C1D32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（元/亩）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F6A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备注</w:t>
            </w:r>
          </w:p>
        </w:tc>
      </w:tr>
      <w:tr w14:paraId="76A77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EA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耕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C01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深翻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232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58D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9A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至少完成3个以上服务项目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866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81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0B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财政资金补助金额以实际验收核算公示资料为准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（元）</w:t>
            </w:r>
          </w:p>
        </w:tc>
      </w:tr>
      <w:tr w14:paraId="7220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43E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92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旋耕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B7A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2BF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ED89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B6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F4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F6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0B2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F04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C24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耙磨震压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29F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EA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BC5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99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CF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1F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BE7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51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1F5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玉米根铲除及残留地膜清理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02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00A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23B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0D7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F3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33D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6F2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D8A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种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BD5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机械铺膜（滴灌带）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CF6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D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7E05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至少完成1个服务项目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B8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FC9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20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5D1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5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0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机械点播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8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E85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A6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E1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90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5D9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10A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63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7F5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水肥一体化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96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C2B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E95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C78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88B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531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26CA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CF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防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726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无人机飞防、机械防治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64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E9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9F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至少完成2次以上防治作业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6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DCF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301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FC4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2D4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合计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E0C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76A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C19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 w:val="0"/>
              <w:autoSpaceDN w:val="0"/>
              <w:bidi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2"/>
                <w:szCs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 w14:paraId="26AB2758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kern w:val="21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五、</w:t>
      </w:r>
      <w:r>
        <w:rPr>
          <w:rFonts w:hint="default" w:ascii="Times New Roman" w:hAnsi="Times New Roman" w:eastAsia="黑体" w:cs="Times New Roman"/>
          <w:kern w:val="21"/>
          <w:sz w:val="28"/>
          <w:szCs w:val="28"/>
        </w:rPr>
        <w:t>支付方式</w:t>
      </w:r>
    </w:p>
    <w:p w14:paraId="7C0C5B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乙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方按照合同要求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完成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每个环节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生产托管服务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并经验收合格后，甲方按照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约定期限将补助资金通过区财政国库集中支付到项目农户“一卡通”账户，并协助乙方向区财政局申报农业社会化服务试点项目补助资金。</w:t>
      </w:r>
    </w:p>
    <w:p w14:paraId="70D1D73B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六、甲乙双方的权利和义务</w:t>
      </w:r>
    </w:p>
    <w:p w14:paraId="62939E7B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422" w:firstLineChars="150"/>
        <w:textAlignment w:val="auto"/>
        <w:rPr>
          <w:rFonts w:hint="default" w:ascii="Times New Roman" w:hAnsi="Times New Roman" w:eastAsia="楷体_GB2312" w:cs="Times New Roman"/>
          <w:b/>
          <w:kern w:val="21"/>
          <w:sz w:val="28"/>
          <w:szCs w:val="28"/>
        </w:rPr>
      </w:pPr>
      <w:r>
        <w:rPr>
          <w:rFonts w:hint="default" w:ascii="Times New Roman" w:hAnsi="Times New Roman" w:eastAsia="楷体_GB2312" w:cs="Times New Roman"/>
          <w:b/>
          <w:kern w:val="21"/>
          <w:sz w:val="28"/>
          <w:szCs w:val="28"/>
        </w:rPr>
        <w:t>（一）甲方的权利和义务</w:t>
      </w:r>
    </w:p>
    <w:p w14:paraId="47557596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640" w:firstLineChars="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1.托管服务期间始终享有对托管地块的承包经营权，托管地块产出品归甲方所有。</w:t>
      </w:r>
    </w:p>
    <w:p w14:paraId="6C13BFC1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640" w:firstLineChars="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2.按照合同约定接受乙方提供的生产托管服务，要求乙方按照《农业生产托管服务标准指引》约定标准开展服务。对乙方服务进行监督和评价，验收服务成果。</w:t>
      </w:r>
    </w:p>
    <w:p w14:paraId="29AEC1B4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640" w:firstLineChars="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3.有权阻止乙方实施破坏农用地和其他农业资源的行为。若因乙方故意或过失破坏托管地块种植条件、给土地造成严重损害或者严重破坏土地生态环境的，有权要求乙方赔偿由此造成的损失。</w:t>
      </w:r>
    </w:p>
    <w:p w14:paraId="2948B3A3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 xml:space="preserve">    4.为乙方开展生产托管服务提供必要条件。</w:t>
      </w:r>
    </w:p>
    <w:p w14:paraId="2108114D">
      <w:pPr>
        <w:keepNext w:val="0"/>
        <w:keepLines w:val="0"/>
        <w:pageBreakBefore w:val="0"/>
        <w:widowControl w:val="0"/>
        <w:kinsoku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5.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甲方在土地托管期间，不得将所托管的土地重复托管、承包、抵押、流转给他人，如有需要需经乙方同意，并签订书面补充协议。</w:t>
      </w:r>
    </w:p>
    <w:p w14:paraId="63C47216">
      <w:pPr>
        <w:keepNext w:val="0"/>
        <w:keepLines w:val="0"/>
        <w:pageBreakBefore w:val="0"/>
        <w:widowControl w:val="0"/>
        <w:kinsoku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6.甲方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负责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农作物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的日常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看护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与管理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并及时向乙方反馈作物长势情况，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如因人为因素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或不可抗力（自然灾害）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造成农作物减产或绝收的，相关责任由甲方承担。</w:t>
      </w:r>
    </w:p>
    <w:p w14:paraId="38C11156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640" w:firstLineChars="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7.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、规章和政策所规定的其他权利和义务。</w:t>
      </w:r>
    </w:p>
    <w:p w14:paraId="21CD779A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413" w:firstLineChars="147"/>
        <w:textAlignment w:val="auto"/>
        <w:rPr>
          <w:rFonts w:hint="default" w:ascii="Times New Roman" w:hAnsi="Times New Roman" w:eastAsia="楷体_GB2312" w:cs="Times New Roman"/>
          <w:b/>
          <w:kern w:val="21"/>
          <w:sz w:val="28"/>
          <w:szCs w:val="28"/>
        </w:rPr>
      </w:pPr>
      <w:r>
        <w:rPr>
          <w:rFonts w:hint="default" w:ascii="Times New Roman" w:hAnsi="Times New Roman" w:eastAsia="楷体_GB2312" w:cs="Times New Roman"/>
          <w:b/>
          <w:kern w:val="21"/>
          <w:sz w:val="28"/>
          <w:szCs w:val="28"/>
        </w:rPr>
        <w:t>（二）乙方的权利和义务</w:t>
      </w:r>
    </w:p>
    <w:p w14:paraId="372A54F7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640" w:firstLineChars="0"/>
        <w:textAlignment w:val="auto"/>
        <w:rPr>
          <w:rFonts w:hint="eastAsia" w:ascii="Times New Roman" w:hAnsi="Times New Roman" w:eastAsia="仿宋_GB2312" w:cs="Times New Roman"/>
          <w:color w:val="FF0000"/>
          <w:kern w:val="21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1.要求甲方在约定时间内提供必要的作业条件，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  <w:lang w:eastAsia="zh-CN"/>
        </w:rPr>
        <w:t>并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配合相关单位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  <w:lang w:eastAsia="zh-CN"/>
        </w:rPr>
        <w:t>对服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务结果进行验收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，未在规定时间内验收，视为验收合格。</w:t>
      </w:r>
    </w:p>
    <w:p w14:paraId="6DDAE85A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640" w:firstLineChars="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2.按照合同约定为甲方提供符合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《实施方案》和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《农业生产托管服务标准指引》要求的生产托管服务，并向甲方解读服务内容。</w:t>
      </w:r>
    </w:p>
    <w:p w14:paraId="210B6F16">
      <w:pPr>
        <w:keepNext w:val="0"/>
        <w:keepLines w:val="0"/>
        <w:pageBreakBefore w:val="0"/>
        <w:widowControl w:val="0"/>
        <w:kinsoku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3.托管作业时保证托管地块四至边界无变化，出现因托管作业所导致原边界不清所引起的矛盾纠纷，乙方负责解决。</w:t>
      </w:r>
    </w:p>
    <w:p w14:paraId="61FB2B9E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4.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、规章和政策所规定的其他权利和义务。</w:t>
      </w:r>
    </w:p>
    <w:p w14:paraId="59547A61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kern w:val="21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21"/>
          <w:sz w:val="28"/>
          <w:szCs w:val="28"/>
        </w:rPr>
        <w:t>七、违约责任</w:t>
      </w:r>
    </w:p>
    <w:p w14:paraId="5C3D2527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（一）甲方逾期未支付服务费用的，从逾期之日起每日按应支付服务费用总额的</w:t>
      </w:r>
      <w:r>
        <w:rPr>
          <w:rFonts w:hint="default" w:ascii="Times New Roman" w:hAnsi="Times New Roman" w:eastAsia="华文仿宋" w:cs="Times New Roman"/>
          <w:kern w:val="21"/>
          <w:sz w:val="28"/>
          <w:szCs w:val="28"/>
        </w:rPr>
        <w:t>百分之</w:t>
      </w:r>
      <w:r>
        <w:rPr>
          <w:rFonts w:hint="default" w:ascii="Times New Roman" w:hAnsi="Times New Roman" w:eastAsia="华文仿宋" w:cs="Times New Roman"/>
          <w:kern w:val="21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华文仿宋" w:cs="Times New Roman"/>
          <w:color w:val="auto"/>
          <w:kern w:val="21"/>
          <w:sz w:val="28"/>
          <w:szCs w:val="28"/>
          <w:u w:val="single"/>
          <w:lang w:eastAsia="zh-CN"/>
        </w:rPr>
        <w:t>一</w:t>
      </w:r>
      <w:r>
        <w:rPr>
          <w:rFonts w:hint="default" w:ascii="Times New Roman" w:hAnsi="Times New Roman" w:eastAsia="华文仿宋" w:cs="Times New Roman"/>
          <w:kern w:val="21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华文仿宋" w:cs="Times New Roman"/>
          <w:kern w:val="21"/>
          <w:sz w:val="28"/>
          <w:szCs w:val="28"/>
        </w:rPr>
        <w:t>（小写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：</w:t>
      </w:r>
      <w:r>
        <w:rPr>
          <w:rFonts w:hint="default" w:ascii="Times New Roman" w:hAnsi="Times New Roman" w:eastAsia="华文仿宋" w:cs="Times New Roman"/>
          <w:kern w:val="21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华文仿宋" w:cs="Times New Roman"/>
          <w:color w:val="auto"/>
          <w:kern w:val="21"/>
          <w:sz w:val="28"/>
          <w:szCs w:val="28"/>
          <w:u w:val="single"/>
          <w:lang w:val="en-US" w:eastAsia="zh-CN"/>
        </w:rPr>
        <w:t>1</w:t>
      </w:r>
      <w:r>
        <w:rPr>
          <w:rFonts w:hint="default" w:ascii="Times New Roman" w:hAnsi="Times New Roman" w:eastAsia="华文仿宋" w:cs="Times New Roman"/>
          <w:kern w:val="21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 xml:space="preserve"> %</w:t>
      </w:r>
      <w:r>
        <w:rPr>
          <w:rFonts w:hint="default" w:ascii="Times New Roman" w:hAnsi="Times New Roman" w:eastAsia="华文仿宋" w:cs="Times New Roman"/>
          <w:kern w:val="21"/>
          <w:sz w:val="28"/>
          <w:szCs w:val="28"/>
        </w:rPr>
        <w:t>）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向乙方支付违约金，但不超过应付服务费用</w:t>
      </w:r>
      <w:r>
        <w:rPr>
          <w:rFonts w:hint="eastAsia" w:ascii="仿宋_GB2312" w:hAnsi="仿宋_GB2312" w:eastAsia="仿宋_GB2312" w:cs="仿宋_GB2312"/>
          <w:kern w:val="21"/>
          <w:sz w:val="28"/>
          <w:szCs w:val="28"/>
        </w:rPr>
        <w:t>总额的</w:t>
      </w:r>
      <w:r>
        <w:rPr>
          <w:rFonts w:hint="eastAsia" w:ascii="仿宋_GB2312" w:hAnsi="仿宋_GB2312" w:eastAsia="仿宋_GB2312" w:cs="仿宋_GB2312"/>
          <w:kern w:val="21"/>
          <w:sz w:val="28"/>
          <w:szCs w:val="28"/>
          <w:lang w:eastAsia="zh-CN"/>
        </w:rPr>
        <w:t>50%</w:t>
      </w:r>
      <w:r>
        <w:rPr>
          <w:rFonts w:hint="eastAsia" w:ascii="仿宋_GB2312" w:hAnsi="仿宋_GB2312" w:eastAsia="仿宋_GB2312" w:cs="仿宋_GB2312"/>
          <w:kern w:val="21"/>
          <w:sz w:val="28"/>
          <w:szCs w:val="28"/>
        </w:rPr>
        <w:t>。</w:t>
      </w:r>
    </w:p>
    <w:p w14:paraId="5418CCDF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（二）乙方未按本合同约定提供服务，造成甲方损失的，应予以赔偿，具体赔偿金额和方式双方协商确定。</w:t>
      </w:r>
    </w:p>
    <w:p w14:paraId="309EF5FD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（三）任何一方违约所造成的损失，均由违约方负责赔偿。</w:t>
      </w:r>
    </w:p>
    <w:p w14:paraId="623220F1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（四）因不可抗力等重大因素导致本合同无法履行的，双方可以协商解除本合同，双方均不承担违约责任。</w:t>
      </w:r>
    </w:p>
    <w:p w14:paraId="20BC0265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21"/>
          <w:sz w:val="28"/>
          <w:szCs w:val="28"/>
        </w:rPr>
        <w:t>八、争议处理</w:t>
      </w:r>
    </w:p>
    <w:p w14:paraId="1A2EAFE8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甲乙双方发生争议，应协商解决。如协商不成，可以向服务所在地乡镇人民政府申请调解，也可以向服务所在地人民法院提起诉讼。</w:t>
      </w:r>
    </w:p>
    <w:p w14:paraId="56F0166A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kern w:val="21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21"/>
          <w:sz w:val="28"/>
          <w:szCs w:val="28"/>
        </w:rPr>
        <w:t>九、其他约定事项</w:t>
      </w:r>
    </w:p>
    <w:p w14:paraId="32745E5F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（一）本合同自甲乙双方签字之日起生效。</w:t>
      </w:r>
    </w:p>
    <w:p w14:paraId="26B1DF3A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（二）未尽或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需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调整事宜经甲乙双方协商一致可签订补充协议，补充协议与本合同具有同等法律效力。补充协议与本合同不一致的，以补充协议为准。</w:t>
      </w:r>
    </w:p>
    <w:p w14:paraId="517E53E3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（三）服务所在地村委会可对甲乙双方的托管服务关系予以指导和监督。</w:t>
      </w:r>
    </w:p>
    <w:p w14:paraId="052EB357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（四）本合同（包括附件《农业生产托管服务标准指引》）一式两份，甲乙双方各持一份，具有同等法律效力。</w:t>
      </w:r>
    </w:p>
    <w:p w14:paraId="68E47D7C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F2BA02" w:themeColor="accent3"/>
          <w:sz w:val="28"/>
          <w:szCs w:val="28"/>
          <w14:textFill>
            <w14:solidFill>
              <w14:schemeClr w14:val="accent3"/>
            </w14:solidFill>
          </w14:textFill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（五）其他约定事宜：</w:t>
      </w:r>
      <w:r>
        <w:rPr>
          <w:rFonts w:hint="eastAsia" w:cs="Times New Roman"/>
          <w:color w:val="auto"/>
          <w:kern w:val="21"/>
          <w:sz w:val="28"/>
          <w:szCs w:val="28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color w:val="F2BA02" w:themeColor="accent3"/>
          <w:kern w:val="21"/>
          <w:sz w:val="28"/>
          <w:szCs w:val="28"/>
          <w14:textFill>
            <w14:solidFill>
              <w14:schemeClr w14:val="accent3"/>
            </w14:solidFill>
          </w14:textFill>
        </w:rPr>
        <w:t>。</w:t>
      </w:r>
    </w:p>
    <w:p w14:paraId="24247BC4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</w:p>
    <w:p w14:paraId="5E9D580B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1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附件：农</w:t>
      </w:r>
      <w:r>
        <w:rPr>
          <w:rFonts w:hint="eastAsia" w:ascii="Times New Roman" w:hAnsi="Times New Roman" w:eastAsia="仿宋_GB2312" w:cs="Times New Roman"/>
          <w:kern w:val="21"/>
          <w:sz w:val="28"/>
          <w:szCs w:val="28"/>
          <w:lang w:eastAsia="zh-CN"/>
        </w:rPr>
        <w:t>业</w:t>
      </w:r>
      <w:r>
        <w:rPr>
          <w:rFonts w:hint="default" w:ascii="Times New Roman" w:hAnsi="Times New Roman" w:eastAsia="仿宋_GB2312" w:cs="Times New Roman"/>
          <w:kern w:val="21"/>
          <w:sz w:val="28"/>
          <w:szCs w:val="28"/>
        </w:rPr>
        <w:t>生产托管服务标准指引</w:t>
      </w:r>
    </w:p>
    <w:p w14:paraId="7BC83FF4">
      <w:pPr>
        <w:pStyle w:val="2"/>
        <w:keepNext w:val="0"/>
        <w:keepLines w:val="0"/>
        <w:pageBreakBefore w:val="0"/>
        <w:widowControl w:val="0"/>
        <w:kinsoku/>
        <w:topLinePunct w:val="0"/>
        <w:bidi w:val="0"/>
        <w:spacing w:line="480" w:lineRule="exact"/>
        <w:ind w:left="0" w:leftChars="0" w:firstLine="0" w:firstLineChars="0"/>
        <w:textAlignment w:val="auto"/>
        <w:rPr>
          <w:rFonts w:hint="default"/>
          <w:sz w:val="28"/>
          <w:szCs w:val="28"/>
        </w:rPr>
      </w:pPr>
    </w:p>
    <w:p w14:paraId="6A163E06">
      <w:pPr>
        <w:pStyle w:val="2"/>
        <w:keepNext w:val="0"/>
        <w:keepLines w:val="0"/>
        <w:pageBreakBefore w:val="0"/>
        <w:widowControl w:val="0"/>
        <w:kinsoku/>
        <w:topLinePunct w:val="0"/>
        <w:bidi w:val="0"/>
        <w:spacing w:line="480" w:lineRule="exact"/>
        <w:textAlignment w:val="auto"/>
        <w:rPr>
          <w:rFonts w:hint="default"/>
          <w:sz w:val="28"/>
          <w:szCs w:val="28"/>
        </w:rPr>
      </w:pPr>
    </w:p>
    <w:p w14:paraId="1C476D38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840" w:firstLineChars="3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甲方（签字或盖章）：      </w:t>
      </w:r>
      <w:r>
        <w:rPr>
          <w:rFonts w:hint="eastAsia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乙方（签字或盖章）：</w:t>
      </w:r>
    </w:p>
    <w:p w14:paraId="1BF60CEF">
      <w:pPr>
        <w:keepNext w:val="0"/>
        <w:keepLines w:val="0"/>
        <w:pageBreakBefore w:val="0"/>
        <w:widowControl w:val="0"/>
        <w:kinsoku/>
        <w:overflowPunct w:val="0"/>
        <w:topLinePunct w:val="0"/>
        <w:autoSpaceDE w:val="0"/>
        <w:autoSpaceDN w:val="0"/>
        <w:bidi w:val="0"/>
        <w:spacing w:line="4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hint="eastAsia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年  月  日          </w:t>
      </w:r>
      <w:r>
        <w:rPr>
          <w:rFonts w:hint="eastAsia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年  月  日</w:t>
      </w:r>
    </w:p>
    <w:p w14:paraId="751F69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1"/>
          <w:sz w:val="32"/>
          <w:szCs w:val="32"/>
        </w:rPr>
      </w:pPr>
    </w:p>
    <w:p w14:paraId="76802F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textAlignment w:val="auto"/>
        <w:rPr>
          <w:rFonts w:hint="default" w:ascii="仿宋_GB2312" w:hAnsi="仿宋_GB2312" w:eastAsia="仿宋_GB2312" w:cs="仿宋_GB2312"/>
          <w:kern w:val="21"/>
          <w:sz w:val="32"/>
          <w:szCs w:val="32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numberInDash" w:start="1"/>
          <w:cols w:space="720" w:num="1"/>
          <w:docGrid w:type="lines" w:linePitch="312" w:charSpace="0"/>
        </w:sectPr>
      </w:pPr>
    </w:p>
    <w:tbl>
      <w:tblPr>
        <w:tblStyle w:val="6"/>
        <w:tblW w:w="156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2349"/>
        <w:gridCol w:w="7273"/>
        <w:gridCol w:w="4512"/>
      </w:tblGrid>
      <w:tr w14:paraId="0E984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9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4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甘州区2026年供销合作社系统中央财政农业社会化服务项目</w:t>
            </w: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托管服务标准指引</w:t>
            </w:r>
          </w:p>
        </w:tc>
      </w:tr>
      <w:tr w14:paraId="31CF3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  <w:tblHeader/>
          <w:jc w:val="center"/>
        </w:trPr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4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托管服务事项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30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72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C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约定标准（由甲乙双方w协商约定）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A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17A95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tblHeader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7D67A6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备耕（生产计划制定和农资农机准备）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2997E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备耕时间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7C52F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2026年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日至2026年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日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B30C1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甲乙双方可协商约定备耕时间范围。</w:t>
            </w:r>
          </w:p>
        </w:tc>
      </w:tr>
      <w:tr w14:paraId="4CB850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D44874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7E2761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农资采购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82BB8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F1A3E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根据托管规模制定年度生产计划，列出种、肥、药等农资采购品种、单价、单位用量及配给方式，同时注明农资采购完成时间。</w:t>
            </w:r>
          </w:p>
        </w:tc>
      </w:tr>
      <w:tr w14:paraId="4761C0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D3207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935CB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农机选用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A2EAE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120马力以上拖拉机不少于14台，深松、旋耕、耙磨机具不少于8台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777DE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每个作业环节所用农机型号及作业能力，同时注明农机保障完成时间。</w:t>
            </w:r>
          </w:p>
        </w:tc>
      </w:tr>
      <w:tr w14:paraId="7D9DF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96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耕整地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D7C84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作业模式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F0CFF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深翻-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深松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-旋耕-耙磨-镇压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D4D8B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根据当地耕作制度和生产实际，列出主要耕整地模式，如旋耕、深翻、深耕、免耕等方式。</w:t>
            </w:r>
          </w:p>
        </w:tc>
      </w:tr>
      <w:tr w14:paraId="22412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A3108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50E6C1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作业时间范围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8EC90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2026年-月-日至2026年-月-日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273A6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根据农时，列出耕整地作业起止时间范围及进度安排。</w:t>
            </w:r>
          </w:p>
        </w:tc>
      </w:tr>
      <w:tr w14:paraId="54209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7159A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F4E43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作业技术要求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B0069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深松深度不小于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30公分；旋耕15公分以上不能出现大于5公分的土块；整平压实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948D1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作业要求列出所采用机械的作业深度、作业幅宽、作业速度等技术指标。</w:t>
            </w:r>
          </w:p>
        </w:tc>
      </w:tr>
      <w:tr w14:paraId="3B3EC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9C4F0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B8801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作业质量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B12ED">
            <w:pP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深松深度不小于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30公分；旋耕15公分以上不能出现大于5公分的土块；整平压实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0D33B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说明各个作业环节可达到的作业效果。</w:t>
            </w:r>
          </w:p>
        </w:tc>
      </w:tr>
      <w:tr w14:paraId="7AD10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0D91D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5F7DE0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种植方式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8DFB7">
            <w:pP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打药、铺膜、施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滴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肥、播种、铺滴灌带要求一次完成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01D0E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按种子品类、耕作制度、地块面积、土壤特性等综合选定不同种植方式。如免耕播种、常规播种、移栽等。</w:t>
            </w:r>
          </w:p>
        </w:tc>
      </w:tr>
      <w:tr w14:paraId="7A252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E1882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601623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种植时间范围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ADFFC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2026年-月-日至2026年-月-日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83D47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根据农时，注明作业起止时间范围和进度安排。</w:t>
            </w:r>
          </w:p>
        </w:tc>
      </w:tr>
    </w:tbl>
    <w:p w14:paraId="5BF3857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headerReference r:id="rId7" w:type="first"/>
          <w:footerReference r:id="rId9" w:type="first"/>
          <w:headerReference r:id="rId6" w:type="default"/>
          <w:footerReference r:id="rId8" w:type="default"/>
          <w:pgSz w:w="16838" w:h="11906" w:orient="landscape"/>
          <w:pgMar w:top="850" w:right="1134" w:bottom="567" w:left="1134" w:header="567" w:footer="397" w:gutter="0"/>
          <w:pgNumType w:fmt="numberInDash"/>
          <w:cols w:space="720" w:num="1"/>
          <w:titlePg/>
          <w:docGrid w:type="lines" w:linePitch="312" w:charSpace="0"/>
        </w:sectPr>
      </w:pPr>
    </w:p>
    <w:tbl>
      <w:tblPr>
        <w:tblStyle w:val="6"/>
        <w:tblW w:w="156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738"/>
        <w:gridCol w:w="1611"/>
        <w:gridCol w:w="7273"/>
        <w:gridCol w:w="4512"/>
      </w:tblGrid>
      <w:tr w14:paraId="38A00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2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托管服务事项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D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72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5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约定标准（由甲乙双方协商约定）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E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E3C42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6D6FAC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</w:t>
            </w:r>
          </w:p>
          <w:p w14:paraId="613A0DD3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9905C5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作业要求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4BA4C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双膜四行铺膜机、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70公分地膜、行距1.1米、株距20公分、铺膜前提前打药，每亩地施肥30公斤；滴灌带头尾打结。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54446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列出所采用机械的作业幅宽、速度、深度、行距、株距，以及种、肥、药等农资使用量。非直播水田插秧在本环节说明。播种同时采用机械施底肥的，列出机械作业方式（如侧施肥）、幅宽、速度、深度、种肥间距等特性并注明用肥品类品牌、施用方法和施肥量。</w:t>
            </w:r>
          </w:p>
        </w:tc>
      </w:tr>
      <w:tr w14:paraId="02819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F26485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3ACC38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效果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702B3">
            <w:pP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铺平压严，没有缺苗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8A01B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说明可达到的作业效果。</w:t>
            </w:r>
          </w:p>
        </w:tc>
      </w:tr>
      <w:tr w14:paraId="408AC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76874D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7579E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水肥一体化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8A9E8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时间范围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C7ACC">
            <w:pPr>
              <w:jc w:val="both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2026年-月-日至2026年-月-日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13146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说明进行中耕追肥的时间范围。</w:t>
            </w:r>
          </w:p>
        </w:tc>
      </w:tr>
      <w:tr w14:paraId="0C2EF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A6220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28E83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3AA47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作业要求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6077E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结合灌水施足水溶肥，共施用   次，严格按提供的水肥一体化配比方案进行。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AC125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根据农艺技术要求，确定采用机械的作业幅宽、速度、深度等特性，并注明用肥品类、施用方法和施肥量。水田不进行中耕，但不同生育期需肥量、品类和施用方法要注明。</w:t>
            </w:r>
          </w:p>
        </w:tc>
      </w:tr>
      <w:tr w14:paraId="684BE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4016B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43210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B3CE0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作业效果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C3DC9">
            <w:pPr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肥料溶解完全，冲施均匀，吸收充分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E0093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说明中耕追肥需要达到的指标如耕深、培土厚度、精准施肥等。</w:t>
            </w:r>
          </w:p>
        </w:tc>
      </w:tr>
      <w:tr w14:paraId="1E000D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7B3BE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田间管理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E40F3E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植保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6F979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时间范围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93322">
            <w:pPr>
              <w:jc w:val="both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2026年-月-日至2026年-月-日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6710F"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说明进行中植保的时间范围。</w:t>
            </w:r>
          </w:p>
        </w:tc>
      </w:tr>
      <w:tr w14:paraId="050EF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6AEC6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11F61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6DA67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植保方案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C891F">
            <w:pP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植保用药由甲方提供；利用高低隙植保机或兰拖人工打药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29657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对作物不同生育期易发生的病虫草害，制定科学防治预案，注明易爆发的时间范围、诱发环境和形成灾害的表现，列出对应适用的“农业防治、生物防治、物理防治和化学防治”等防治措施，包括相应的药剂施用方案、设备设施布置方案、天敌释放数量方案等。本部分难点在于灾害诊断，各服务主体应有专业的技术人员（或聘任兼职专家）负责防治方案的制定和实施，或将本项工作托管给专业的植保队伍。</w:t>
            </w:r>
          </w:p>
        </w:tc>
      </w:tr>
    </w:tbl>
    <w:p w14:paraId="3B1B13E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footerReference r:id="rId11" w:type="first"/>
          <w:footerReference r:id="rId10" w:type="default"/>
          <w:pgSz w:w="16838" w:h="11906" w:orient="landscape"/>
          <w:pgMar w:top="850" w:right="1134" w:bottom="567" w:left="1134" w:header="567" w:footer="397" w:gutter="0"/>
          <w:pgNumType w:fmt="numberInDash"/>
          <w:cols w:space="720" w:num="1"/>
          <w:titlePg/>
          <w:docGrid w:type="lines" w:linePitch="312" w:charSpace="0"/>
        </w:sectPr>
      </w:pPr>
    </w:p>
    <w:tbl>
      <w:tblPr>
        <w:tblStyle w:val="6"/>
        <w:tblW w:w="156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738"/>
        <w:gridCol w:w="1611"/>
        <w:gridCol w:w="7273"/>
        <w:gridCol w:w="4512"/>
      </w:tblGrid>
      <w:tr w14:paraId="6990E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9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托管服务事项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4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72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5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约定标准（由甲乙双方协商约定）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9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5443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EE4A8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田间管理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D746A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植保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206C0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植保作业机具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7B39B">
            <w:pPr>
              <w:jc w:val="both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高低隙植保机、兰拖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4142D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列出植保方案中的作业机具，如无人机、高地隙植保机等。</w:t>
            </w:r>
          </w:p>
        </w:tc>
      </w:tr>
      <w:tr w14:paraId="4773B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17A18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5228F">
            <w:pPr>
              <w:jc w:val="left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80275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植保作业效果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6A6FA">
            <w:pPr>
              <w:jc w:val="both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无药害、无遗漏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47949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说明植保作业的效果。</w:t>
            </w:r>
          </w:p>
        </w:tc>
      </w:tr>
      <w:tr w14:paraId="0F204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34818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F49A3E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......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2BBDD">
            <w:pPr>
              <w:jc w:val="both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8DAC3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52AA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D4158D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作物收获</w:t>
            </w: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FBFB1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收获机机型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0A546">
            <w:pPr>
              <w:jc w:val="both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自走式玉米收获机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E9142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按作物品种、收获物、地块面积和地形条件选择收割机机型。</w:t>
            </w:r>
          </w:p>
        </w:tc>
      </w:tr>
      <w:tr w14:paraId="0D8AC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C92A7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F5631E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作业时间范围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9ACEA">
            <w:pPr>
              <w:jc w:val="both"/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2026年-月-日至2026年-月-日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4D573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按作物成熟度、气象条件、土壤条件等作业条件要求，确定收割时间及作业进度。</w:t>
            </w:r>
          </w:p>
        </w:tc>
      </w:tr>
      <w:tr w14:paraId="13F54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3490B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DCA0E1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作业要求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00761">
            <w:pPr>
              <w:jc w:val="both"/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采用机械进行鲜穗采收，要求采穗遗漏率低于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%，种子芽孢破损率低于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%</w:t>
            </w:r>
          </w:p>
          <w:p w14:paraId="0E1F4B51">
            <w:pPr>
              <w:pStyle w:val="2"/>
              <w:ind w:left="0" w:leftChars="0" w:firstLine="0" w:firstLineChars="0"/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</w:pP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1B304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列出所采用收割机的作业宽度、速度、秸秆切碎长度、割茬高度、籽粒损失率、果穗损失率、籽粒破碎率、秸秆抛撒不均匀率等作业特性。</w:t>
            </w:r>
          </w:p>
        </w:tc>
      </w:tr>
      <w:tr w14:paraId="2ACB7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5F25A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5F38D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作业效果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18B2F">
            <w:pPr>
              <w:jc w:val="both"/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作业及时，采穗干净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B5E10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说明可达到的作业效果。</w:t>
            </w:r>
          </w:p>
        </w:tc>
      </w:tr>
      <w:tr w14:paraId="4D309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C2928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CF930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......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E494B">
            <w:pPr>
              <w:jc w:val="both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5C437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BA6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0789B">
            <w:pPr>
              <w:jc w:val="center"/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秸秆处理</w:t>
            </w: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54C7D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秸秆粉碎、离田处理情况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C5C02">
            <w:pPr>
              <w:jc w:val="both"/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采用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型号农机具，要求2026年-月底以前将秸秆粉碎拉运至指定地点集中处理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B4FE5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根据农业生产服务主体实际情况，说明作物秸秆利用时间和利用情况，包括秸秆离田、秸秆还田。</w:t>
            </w:r>
          </w:p>
        </w:tc>
      </w:tr>
      <w:tr w14:paraId="34B559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6A71A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8B526">
            <w:pPr>
              <w:jc w:val="center"/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秸秆还田情况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A4BB2">
            <w:pPr>
              <w:jc w:val="both"/>
              <w:rPr>
                <w:rFonts w:hint="default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采用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thick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型号农机具，要求2026年底-月底前将秸秆粉碎后就地翻埋地下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7E608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列出所用机具的名称、型号、作业效率等。</w:t>
            </w:r>
          </w:p>
        </w:tc>
      </w:tr>
      <w:tr w14:paraId="4031A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tblHeader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B35DD">
            <w:pPr>
              <w:rPr>
                <w:rFonts w:hint="eastAsia" w:ascii="楷体_GB2312" w:hAnsi="楷体_GB2312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737F4E">
            <w:pPr>
              <w:jc w:val="center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......</w:t>
            </w:r>
          </w:p>
        </w:tc>
        <w:tc>
          <w:tcPr>
            <w:tcW w:w="7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415C9">
            <w:pPr>
              <w:jc w:val="both"/>
              <w:rPr>
                <w:rFonts w:hint="eastAsia" w:ascii="楷体_GB2312" w:hAnsi="楷体_GB2312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6EFB5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1D63D7E3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footerReference r:id="rId13" w:type="first"/>
          <w:footerReference r:id="rId12" w:type="default"/>
          <w:pgSz w:w="16838" w:h="11906" w:orient="landscape"/>
          <w:pgMar w:top="850" w:right="1134" w:bottom="567" w:left="1134" w:header="567" w:footer="397" w:gutter="0"/>
          <w:pgNumType w:fmt="numberInDash"/>
          <w:cols w:space="720" w:num="1"/>
          <w:titlePg/>
          <w:docGrid w:type="lines" w:linePitch="312" w:charSpace="0"/>
        </w:sectPr>
      </w:pPr>
    </w:p>
    <w:p w14:paraId="4E083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楷体_GB2312" w:hAnsi="楷体_GB2312" w:eastAsia="楷体_GB2312" w:cs="楷体_GB2312"/>
          <w:b/>
          <w:bCs/>
          <w:sz w:val="22"/>
          <w:szCs w:val="2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22"/>
          <w:szCs w:val="22"/>
          <w:lang w:eastAsia="zh-CN"/>
        </w:rPr>
        <w:t>注：</w:t>
      </w:r>
      <w:r>
        <w:rPr>
          <w:rFonts w:hint="eastAsia" w:ascii="楷体_GB2312" w:hAnsi="楷体_GB2312" w:eastAsia="楷体_GB2312" w:cs="楷体_GB2312"/>
          <w:b/>
          <w:bCs/>
          <w:sz w:val="22"/>
          <w:szCs w:val="2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sz w:val="22"/>
          <w:szCs w:val="22"/>
          <w:lang w:eastAsia="zh-CN"/>
        </w:rPr>
        <w:t>甲乙双方根据约定选择服务事项和服务内容，也可根据实际情况增加具体服务内容；</w:t>
      </w:r>
    </w:p>
    <w:p w14:paraId="6E7DB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2"/>
          <w:szCs w:val="2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22"/>
          <w:szCs w:val="2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/>
          <w:bCs/>
          <w:sz w:val="22"/>
          <w:szCs w:val="22"/>
          <w:lang w:eastAsia="zh-CN"/>
        </w:rPr>
        <w:t>本《</w:t>
      </w:r>
      <w:r>
        <w:rPr>
          <w:rFonts w:hint="eastAsia" w:ascii="楷体_GB2312" w:hAnsi="楷体_GB2312" w:eastAsia="楷体_GB2312" w:cs="楷体_GB2312"/>
          <w:b/>
          <w:bCs/>
          <w:sz w:val="22"/>
          <w:szCs w:val="22"/>
          <w:lang w:val="en-US" w:eastAsia="zh-CN"/>
        </w:rPr>
        <w:t>农业生产托管服务标准指引》</w:t>
      </w:r>
      <w:r>
        <w:rPr>
          <w:rFonts w:hint="eastAsia" w:ascii="楷体_GB2312" w:hAnsi="楷体_GB2312" w:eastAsia="楷体_GB2312" w:cs="楷体_GB2312"/>
          <w:b/>
          <w:bCs/>
          <w:sz w:val="22"/>
          <w:szCs w:val="22"/>
          <w:lang w:eastAsia="zh-CN"/>
        </w:rPr>
        <w:t>一式两份，甲乙双方各执一份，附于《农业生产托管服务合同》之后，具有同等法律效力。</w:t>
      </w:r>
    </w:p>
    <w:p w14:paraId="2E7DD2EA">
      <w:pPr>
        <w:rPr>
          <w:rFonts w:hint="default"/>
          <w:b/>
          <w:bCs/>
          <w:sz w:val="24"/>
          <w:szCs w:val="24"/>
          <w:lang w:val="en-US" w:eastAsia="zh-CN"/>
        </w:rPr>
      </w:pPr>
    </w:p>
    <w:p w14:paraId="30744313">
      <w:pPr>
        <w:rPr>
          <w:rFonts w:hint="eastAsia"/>
          <w:b/>
          <w:bCs/>
          <w:sz w:val="24"/>
          <w:szCs w:val="24"/>
          <w:lang w:eastAsia="zh-CN"/>
        </w:rPr>
      </w:pPr>
    </w:p>
    <w:p w14:paraId="22AADD94">
      <w:pPr>
        <w:rPr>
          <w:rFonts w:hint="eastAsia"/>
          <w:b/>
          <w:bCs/>
          <w:sz w:val="24"/>
          <w:szCs w:val="24"/>
          <w:lang w:eastAsia="zh-CN"/>
        </w:rPr>
      </w:pPr>
    </w:p>
    <w:p w14:paraId="1C74725D">
      <w:pPr>
        <w:rPr>
          <w:rFonts w:hint="eastAsia"/>
          <w:b/>
          <w:bCs/>
          <w:sz w:val="24"/>
          <w:szCs w:val="24"/>
          <w:lang w:eastAsia="zh-CN"/>
        </w:rPr>
      </w:pPr>
    </w:p>
    <w:p w14:paraId="22E651D0">
      <w:pPr>
        <w:spacing w:line="480" w:lineRule="auto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甲方（签字</w:t>
      </w:r>
      <w:r>
        <w:rPr>
          <w:rFonts w:hint="default"/>
          <w:b/>
          <w:bCs/>
          <w:sz w:val="24"/>
        </w:rPr>
        <w:t>或盖章</w:t>
      </w:r>
      <w:r>
        <w:rPr>
          <w:rFonts w:hint="eastAsia"/>
          <w:b/>
          <w:bCs/>
          <w:sz w:val="24"/>
        </w:rPr>
        <w:t>）：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 xml:space="preserve">    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 xml:space="preserve">             </w:t>
      </w:r>
      <w:r>
        <w:rPr>
          <w:rFonts w:hint="default"/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>乙方（</w:t>
      </w:r>
      <w:r>
        <w:rPr>
          <w:rFonts w:hint="default"/>
          <w:b/>
          <w:bCs/>
          <w:sz w:val="24"/>
        </w:rPr>
        <w:t>签字或</w:t>
      </w:r>
      <w:r>
        <w:rPr>
          <w:rFonts w:hint="eastAsia"/>
          <w:b/>
          <w:bCs/>
          <w:sz w:val="24"/>
        </w:rPr>
        <w:t>盖章）：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 xml:space="preserve">  </w:t>
      </w:r>
    </w:p>
    <w:p w14:paraId="0B87FD0F">
      <w:pPr>
        <w:spacing w:line="480" w:lineRule="auto"/>
      </w:pPr>
      <w:r>
        <w:rPr>
          <w:rFonts w:hint="default"/>
          <w:b/>
          <w:bCs/>
          <w:sz w:val="24"/>
        </w:rPr>
        <w:t>时    间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default"/>
          <w:b/>
          <w:bCs/>
          <w:sz w:val="24"/>
        </w:rPr>
        <w:t>：</w:t>
      </w:r>
      <w:r>
        <w:rPr>
          <w:rFonts w:hint="eastAsia"/>
          <w:b/>
          <w:bCs/>
          <w:sz w:val="24"/>
          <w:u w:val="single"/>
        </w:rPr>
        <w:t xml:space="preserve">      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  <w:u w:val="single"/>
        </w:rPr>
        <w:t xml:space="preserve">      </w:t>
      </w:r>
      <w:r>
        <w:rPr>
          <w:rFonts w:hint="eastAsia"/>
          <w:b/>
          <w:bCs/>
          <w:sz w:val="24"/>
        </w:rPr>
        <w:t>月</w:t>
      </w:r>
      <w:r>
        <w:rPr>
          <w:rFonts w:hint="eastAsia"/>
          <w:b/>
          <w:bCs/>
          <w:sz w:val="24"/>
          <w:u w:val="single"/>
        </w:rPr>
        <w:t xml:space="preserve">      </w:t>
      </w:r>
      <w:r>
        <w:rPr>
          <w:rFonts w:hint="eastAsia"/>
          <w:b/>
          <w:bCs/>
          <w:sz w:val="24"/>
        </w:rPr>
        <w:t>日</w:t>
      </w:r>
      <w:r>
        <w:rPr>
          <w:rFonts w:hint="default"/>
          <w:b/>
          <w:bCs/>
          <w:sz w:val="24"/>
        </w:rPr>
        <w:t xml:space="preserve">     </w:t>
      </w:r>
      <w:r>
        <w:rPr>
          <w:rFonts w:hint="eastAsia"/>
          <w:b/>
          <w:bCs/>
          <w:sz w:val="24"/>
          <w:lang w:val="en-US" w:eastAsia="zh-CN"/>
        </w:rPr>
        <w:t xml:space="preserve">                  </w:t>
      </w:r>
      <w:r>
        <w:rPr>
          <w:rFonts w:hint="default"/>
          <w:b/>
          <w:bCs/>
          <w:sz w:val="24"/>
        </w:rPr>
        <w:t xml:space="preserve"> 时    间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default"/>
          <w:b/>
          <w:bCs/>
          <w:sz w:val="24"/>
        </w:rPr>
        <w:t>：</w:t>
      </w:r>
      <w:r>
        <w:rPr>
          <w:rFonts w:hint="eastAsia"/>
          <w:b/>
          <w:bCs/>
          <w:sz w:val="24"/>
          <w:u w:val="single"/>
        </w:rPr>
        <w:t xml:space="preserve">      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  <w:u w:val="single"/>
        </w:rPr>
        <w:t xml:space="preserve">      </w:t>
      </w:r>
      <w:r>
        <w:rPr>
          <w:rFonts w:hint="eastAsia"/>
          <w:b/>
          <w:bCs/>
          <w:sz w:val="24"/>
        </w:rPr>
        <w:t>月</w:t>
      </w:r>
      <w:r>
        <w:rPr>
          <w:rFonts w:hint="eastAsia"/>
          <w:b/>
          <w:bCs/>
          <w:sz w:val="24"/>
          <w:u w:val="single"/>
        </w:rPr>
        <w:t xml:space="preserve">      </w:t>
      </w:r>
    </w:p>
    <w:sectPr>
      <w:headerReference r:id="rId14" w:type="default"/>
      <w:footerReference r:id="rId15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F9FE0">
    <w:pPr>
      <w:pStyle w:val="4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AA80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681D9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5681D9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AD2A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7B2D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E7B2D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6F05D">
    <w:pPr>
      <w:pStyle w:val="4"/>
      <w:tabs>
        <w:tab w:val="center" w:pos="728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25A28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xjdksg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s3EMUR+6ska5HoTbY8ImSm+5wgg7FcaZFXbTfuWleHwvWQ//1P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cY3ZL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25A28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1F0EF4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F0EF4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BBC6B">
    <w:pPr>
      <w:pStyle w:val="4"/>
      <w:tabs>
        <w:tab w:val="center" w:pos="7285"/>
        <w:tab w:val="clear" w:pos="8306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7F06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67F06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>11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D97F4">
    <w:pPr>
      <w:pStyle w:val="4"/>
      <w:tabs>
        <w:tab w:val="center" w:pos="7285"/>
        <w:tab w:val="clear" w:pos="4153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33FB5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tkm6s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YOIep9V9Yo14Pw7pCwidJbrjDCToVxZoXdtF95Kf68l6ynf2r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G2Sbq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033FB5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CD77473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D77473"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869A5">
    <w:pPr>
      <w:pStyle w:val="4"/>
      <w:tabs>
        <w:tab w:val="center" w:pos="7285"/>
        <w:tab w:val="clear" w:pos="8306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7EBD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WDnscBAACZ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xjiHqQ1+WKNeD8OaYsInSW64wwc6FcWKF3bxdeSUe30vWwx+1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1fWDns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37EBD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>11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676FB">
    <w:pPr>
      <w:pStyle w:val="4"/>
      <w:tabs>
        <w:tab w:val="center" w:pos="7285"/>
        <w:tab w:val="clear" w:pos="4153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B352A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AB352A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4B88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ED673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M0qcgBAACZAwAADgAAAGRycy9lMm9Eb2MueG1srVPNjtMwEL4j8Q6W&#10;79TZHlA3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WTN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7ED673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B834A">
    <w:pPr>
      <w:pStyle w:val="5"/>
      <w:pBdr>
        <w:bottom w:val="none" w:color="auto" w:sz="0" w:space="1"/>
      </w:pBdr>
      <w:tabs>
        <w:tab w:val="clear" w:pos="4153"/>
      </w:tabs>
      <w:jc w:val="left"/>
    </w:pPr>
    <w:r>
      <w:rPr>
        <w:sz w:val="18"/>
      </w:rPr>
      <w:pict>
        <v:shape id="PowerPlusWaterMarkObject42142" o:spid="_x0000_s4097" o:spt="136" type="#_x0000_t136" style="position:absolute;left:0pt;height:62.3pt;width:524.95pt;mso-position-horizontal:center;mso-position-horizontal-relative:margin;mso-position-vertical:center;mso-position-vertical-relative:margin;rotation:-2949120f;z-index:-251649024;mso-width-relative:page;mso-height-relative:page;" fillcolor="#C0C0C0" filled="t" stroked="f" coordsize="21600,21600" adj="10800">
          <v:path/>
          <v:fill on="t" opacity="26869f" focussize="0,0"/>
          <v:stroke on="f"/>
          <v:imagedata o:title=""/>
          <o:lock v:ext="edit" aspectratio="t"/>
          <v:textpath on="t" fitshape="t" fitpath="t" trim="t" xscale="f" string="甘州区供销合作社联合社" style="font-family:微软雅黑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FBF4D">
    <w:pPr>
      <w:pStyle w:val="5"/>
      <w:pBdr>
        <w:bottom w:val="none" w:color="auto" w:sz="0" w:space="1"/>
      </w:pBdr>
      <w:tabs>
        <w:tab w:val="clear" w:pos="4153"/>
      </w:tabs>
      <w:jc w:val="left"/>
    </w:pPr>
    <w:r>
      <w:rPr>
        <w:sz w:val="18"/>
      </w:rPr>
      <w:pict>
        <v:shape id="_x0000_s4099" o:spid="_x0000_s4099" o:spt="136" type="#_x0000_t136" style="position:absolute;left:0pt;height:62.3pt;width:524.95pt;mso-position-horizontal:center;mso-position-horizontal-relative:margin;mso-position-vertical:center;mso-position-vertical-relative:margin;rotation:-2949120f;z-index:-251648000;mso-width-relative:page;mso-height-relative:page;" fillcolor="#C0C0C0" filled="t" stroked="f" coordsize="21600,21600" adj="10800">
          <v:path/>
          <v:fill on="t" opacity="26869f" focussize="0,0"/>
          <v:stroke on="f"/>
          <v:imagedata o:title=""/>
          <o:lock v:ext="edit" aspectratio="t"/>
          <v:textpath on="t" fitshape="t" fitpath="t" trim="t" xscale="f" string="甘州区供销合作社联合社" style="font-family:微软雅黑;font-size:36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87189">
    <w:pPr>
      <w:pStyle w:val="5"/>
      <w:pBdr>
        <w:bottom w:val="none" w:color="auto" w:sz="0" w:space="1"/>
      </w:pBdr>
      <w:tabs>
        <w:tab w:val="clear" w:pos="4153"/>
      </w:tabs>
      <w:jc w:val="left"/>
      <w:rPr>
        <w:rFonts w:hint="eastAsia" w:ascii="黑体" w:hAnsi="黑体" w:eastAsia="黑体" w:cs="黑体"/>
        <w:b w:val="0"/>
        <w:bCs w:val="0"/>
        <w:sz w:val="32"/>
        <w:szCs w:val="32"/>
        <w:lang w:eastAsia="zh-CN"/>
      </w:rPr>
    </w:pPr>
    <w:r>
      <w:rPr>
        <w:sz w:val="18"/>
      </w:rPr>
      <w:pict>
        <v:shape id="_x0000_s4098" o:spid="_x0000_s4098" o:spt="136" type="#_x0000_t136" style="position:absolute;left:0pt;height:62.3pt;width:524.95pt;mso-position-horizontal:center;mso-position-horizontal-relative:margin;mso-position-vertical:center;mso-position-vertical-relative:margin;rotation:-2949120f;z-index:-251646976;mso-width-relative:page;mso-height-relative:page;" fillcolor="#C0C0C0" filled="t" stroked="f" coordsize="21600,21600" adj="10800">
          <v:path/>
          <v:fill on="t" opacity="26869f" focussize="0,0"/>
          <v:stroke on="f"/>
          <v:imagedata o:title=""/>
          <o:lock v:ext="edit" aspectratio="t"/>
          <v:textpath on="t" fitshape="t" fitpath="t" trim="t" xscale="f" string="甘州区供销合作社联合社" style="font-family:微软雅黑;font-size:36pt;v-same-letter-heights:f;v-text-align:center;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8207C">
    <w:pPr>
      <w:pStyle w:val="5"/>
      <w:pBdr>
        <w:bottom w:val="none" w:color="auto" w:sz="0" w:space="1"/>
      </w:pBdr>
      <w:tabs>
        <w:tab w:val="clear" w:pos="4153"/>
      </w:tabs>
      <w:jc w:val="left"/>
    </w:pPr>
    <w:r>
      <w:rPr>
        <w:sz w:val="18"/>
      </w:rPr>
      <w:pict>
        <v:shape id="_x0000_s4100" o:spid="_x0000_s4100" o:spt="136" type="#_x0000_t136" style="position:absolute;left:0pt;height:62.3pt;width:524.95pt;mso-position-horizontal:center;mso-position-horizontal-relative:margin;mso-position-vertical:center;mso-position-vertical-relative:margin;rotation:-2949120f;z-index:-251645952;mso-width-relative:page;mso-height-relative:page;" fillcolor="#C0C0C0" filled="t" stroked="f" coordsize="21600,21600" adj="10800">
          <v:path/>
          <v:fill on="t" opacity="26869f" focussize="0,0"/>
          <v:stroke on="f"/>
          <v:imagedata o:title=""/>
          <o:lock v:ext="edit" aspectratio="t"/>
          <v:textpath on="t" fitshape="t" fitpath="t" trim="t" xscale="f" string="甘州区供销合作社联合社" style="font-family:微软雅黑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5YWEwYzhiNTg1NmUwNmRkYjFjNDZmMjZkMTYwODAifQ=="/>
  </w:docVars>
  <w:rsids>
    <w:rsidRoot w:val="00000000"/>
    <w:rsid w:val="00083884"/>
    <w:rsid w:val="02223D56"/>
    <w:rsid w:val="0B993840"/>
    <w:rsid w:val="197A4973"/>
    <w:rsid w:val="19FE1D15"/>
    <w:rsid w:val="1D06296B"/>
    <w:rsid w:val="1E3B5328"/>
    <w:rsid w:val="24EB326E"/>
    <w:rsid w:val="2B6F173A"/>
    <w:rsid w:val="30F66A6A"/>
    <w:rsid w:val="3BF600C5"/>
    <w:rsid w:val="4CE7152E"/>
    <w:rsid w:val="564A58EC"/>
    <w:rsid w:val="574C530C"/>
    <w:rsid w:val="58CF45B7"/>
    <w:rsid w:val="5D3068AC"/>
    <w:rsid w:val="6212609B"/>
    <w:rsid w:val="657171FE"/>
    <w:rsid w:val="65B975D9"/>
    <w:rsid w:val="66DC397E"/>
    <w:rsid w:val="7FCD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0"/>
      <w:ind w:firstLine="420"/>
    </w:pPr>
    <w:rPr>
      <w:rFonts w:eastAsia="楷体_GB2312"/>
      <w:sz w:val="30"/>
    </w:rPr>
  </w:style>
  <w:style w:type="paragraph" w:styleId="3">
    <w:name w:val="Body Text Indent"/>
    <w:basedOn w:val="1"/>
    <w:link w:val="9"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snapToGrid w:val="0"/>
      <w:sz w:val="18"/>
      <w:szCs w:val="32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9">
    <w:name w:val="正文文本缩进 Char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9.xml"/><Relationship Id="rId14" Type="http://schemas.openxmlformats.org/officeDocument/2006/relationships/header" Target="header4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7"/>
    <customShpInfo spid="_x0000_s1026" textRotate="1"/>
    <customShpInfo spid="_x0000_s4099"/>
    <customShpInfo spid="_x0000_s4098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2803</Words>
  <Characters>2876</Characters>
  <Lines>0</Lines>
  <Paragraphs>0</Paragraphs>
  <TotalTime>3</TotalTime>
  <ScaleCrop>false</ScaleCrop>
  <LinksUpToDate>false</LinksUpToDate>
  <CharactersWithSpaces>3362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2024-07-15T15:54:00Z</dcterms:created>
  <dc:creator>Micky</dc:creator>
  <cp:lastModifiedBy>庸人i</cp:lastModifiedBy>
  <cp:lastPrinted>2026-08-04T06:34:00Z</cp:lastPrinted>
  <dcterms:modified xsi:type="dcterms:W3CDTF">2026-08-18T11:01:01Z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42D88767F2CA4175B4333EFBCFD47F98_13</vt:lpwstr>
  </property>
  <property fmtid="{D5CDD505-2E9C-101B-9397-08002B2CF9AE}" pid="4" name="KSOTemplateDocerSaveRecord">
    <vt:lpwstr>eyJoZGlkIjoiOWE5YWEwYzhiNTg1NmUwNmRkYjFjNDZmMjZkMTYwODAiLCJ1c2VySWQiOiI0NDgzODQ2MTgifQ==</vt:lpwstr>
  </property>
</Properties>
</file>