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75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0" w:type="dxa"/>
              <w:bottom w:w="225" w:type="dxa"/>
              <w:right w:w="0" w:type="dxa"/>
            </w:tcMar>
            <w:vAlign w:val="center"/>
          </w:tcPr>
          <w:p>
            <w:pPr>
              <w:widowControl/>
              <w:spacing w:line="525" w:lineRule="atLeast"/>
              <w:jc w:val="center"/>
              <w:rPr>
                <w:rFonts w:hint="eastAsia"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</w:rPr>
              <w:t>甘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  <w:lang w:eastAsia="zh-CN"/>
              </w:rPr>
              <w:t>州区人民政府火车站街道办事处</w:t>
            </w:r>
          </w:p>
          <w:p>
            <w:pPr>
              <w:widowControl/>
              <w:spacing w:line="525" w:lineRule="atLeast"/>
              <w:jc w:val="center"/>
              <w:rPr>
                <w:rFonts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</w:rPr>
            </w:pPr>
            <w:r>
              <w:rPr>
                <w:rFonts w:hint="eastAsia"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</w:rPr>
              <w:t>202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Helvetica"/>
                <w:b/>
                <w:bCs/>
                <w:color w:val="auto"/>
                <w:kern w:val="0"/>
                <w:sz w:val="45"/>
                <w:szCs w:val="45"/>
              </w:rPr>
              <w:t>年部门预算公开说明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Helvetica" w:hAnsi="Helvetica" w:eastAsia="宋体" w:cs="Helvetica"/>
                <w:color w:val="auto"/>
                <w:kern w:val="0"/>
                <w:sz w:val="1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Style w:val="3"/>
              <w:tblW w:w="5000" w:type="pct"/>
              <w:jc w:val="cente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Helvetica" w:hAnsi="Helvetica" w:eastAsia="宋体" w:cs="Helvetic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按照《中华人民共和国预算法》《中华人民共和国预算法实施条例》《地方预决算公开操作规程》和《中共甘肃省委办公厅 甘肃省人民政府办公厅关于进一步推进预算公开工作的实施方案》《甘肃省财政厅关于转发&lt;财政部关于推进部门所属单位预算公开的指导意见&gt;的通知》，现将202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年部门预算公开如下：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一、部门职责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甘州区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火车站街道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办事处主要职责是宣传、执行党的路线、方针、政策和国家法律、法规；执行区委、区政府的决议、决定；开展法制宣传教育和辖区内妇女、青少年和老年人的合法权益保护工作；处理来信来访，化解矛盾纠纷，加强社会治安综合治理、禁毒工作；开展卫生健康、环境卫生、生态环境保护、就业创业、民族宗教、文化、安全生产、抚恤、优待、社会保障、医疗保障、住房保障、残疾保障、低保救助等工作；开展预备役和兵员征集工作；完成区委、区政府交办的其他事项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二、机构设置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（一）机关内设机构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甘州区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火车站街道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办事处属甘州区政府派出机构，科级建制，内设：5个党政机构（综合办公室、党建工作办公室、公共管理办公室、公共服务办公室、公共安全办公室），规格均为股级；4个中心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队（政务服务中心、社会治安综合治理中心、社区服务中心、公共事务服务中心、综合行政执法队）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规格原则上为副科级；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个社区居委会（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张火路社区、康乐社区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）；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2个村民委员会（下安村、东泉村）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三、部门收支总体情况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按照预算管理有关规定，202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年部门收支为机关预算的汇总情况。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（一）收入预算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年收入预算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729.555517万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元（详见部门预算公开表1,2），比202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增加了138.035517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，上浮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23.3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%，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增加的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的主要原因是人员变动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、政策性奖励资金增加和两村一社农田林水管护经费列入年初预算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。包括：一般公共预算收入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729.555517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万元，政府性基金预算收入0.00万元，上年结转收入0.00万元，其他收入0.00万元。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（二）支出预算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年支出预算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729.555517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万元（详见部门预算公开表3），比202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138.035517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，上浮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23.3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%，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的主要原因是人员变动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、社区工作者人员增加、政策性奖励资金增加及两村一社农田林水管护经费列入年初预算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。当年财政拨款主要是：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.社会保障和就业支出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36.764689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.卫生健康支出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22.123559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default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3.城乡社区支出607.877785万元。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农林水支出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36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.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9867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.住房保障支出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25.802784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四、一般公共预算情况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年一般公共预算支出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729.555517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万元（详见部门预算公开表4,5,6,7），具体安排情况如下：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（一）基本支出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年基本支出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436.768817</w:t>
            </w:r>
            <w:bookmarkStart w:id="0" w:name="_GoBack"/>
            <w:bookmarkEnd w:id="0"/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万元，比202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26.258817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上浮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6.39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%，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的主要原因是人员变动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、政策性奖励资金增加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等。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（二）项目支出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年一般公共预算拨款项目支出预算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292.7867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万元，比202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111.7767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上浮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61.75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%，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的主要原因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是社区工作者人员增加和站前广场运行维护费增加列入年初预算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等。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default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1.保障运转经费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个，主要是：街道社区工作经费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80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万元；社区居委会副主任三金及工资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12.6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万元；社区工作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者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人员工资及三金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113.4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，村级办公经费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10.2万元，站前广场运行维护费15万元，村社干部报酬35.4万元，离任村干部生活补贴1.5867万元。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2.其他项目0个。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五、部门“三公”经费、培训费、会议费等财政拨款情况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（详见部门预算公开表8,9）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年预算，未安排“三公”经费，相关表格为空表。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1.因公出国（境）费用0.00万元，与上年持平。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2.公务接待费0.00万元，与上年持平。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3.公务用车购置及运行维护费0.00万元（其中：公务用车购置0.00万元，公务用车运行维护费0.00万元），与上年持平。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4.培训费0.00万元，与上年持平。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5.会议费0.00万元，与上年持平。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6.机关运行经费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24.218539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万元，比202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年预算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2.888539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万元，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11.98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%，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增加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的主要原因是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上缴区总工会的工会经费在部门预算内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六、其他重要事项情况说明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（详见部门预算公开表10）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（一）政府性基金预算支出情况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 202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年无使用政府性基金预算支出，相关表格为空表。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）部门管理的转移支付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2022年预算无部门管理转移支付，相关表格为空表。</w:t>
            </w:r>
          </w:p>
          <w:p>
            <w:pPr>
              <w:widowControl/>
              <w:spacing w:line="420" w:lineRule="atLeast"/>
              <w:ind w:firstLine="640" w:firstLineChars="20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、名词解释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财政拨款收入:指区级财政当年拨付的资金。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一般公共服务:指区财政局用于保障机构正常运行、开展财政管理活动的支出。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社会保障和就业:指甘州区财政局用于离退休人员的经费。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住房保障支出:指按照国家政策规定用于住房改革方面的支出。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住房公积金:指按照国家统一规定,依据上级确定的比例为在职职工缴存的长期住房储金。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基本支出:指为保障机构正常运转、完成日常工作任务而发生的人员支出和公用支出。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三公经费:是指部门用财政拨款安排的因公出国（境）费,公务用车购置及运行费和公务接费。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机关运行经费:为保障行政单位（含参照公务员法管理的事业单位）运行用于购买货物和服务的各项资金,包括办公及印刷费、邮电费、差旅费、会议费、福利费、日常维修费、专用材料及一般设备购置费、办公用房水电费、办公用房取暖费、办公用房物业管理费、公务用车运行维护费以及其他费用。</w:t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br w:type="textWrapping"/>
            </w:r>
          </w:p>
          <w:p>
            <w:pPr>
              <w:widowControl/>
              <w:spacing w:line="420" w:lineRule="atLeast"/>
              <w:ind w:firstLine="640"/>
              <w:jc w:val="left"/>
              <w:textAlignment w:val="center"/>
              <w:rPr>
                <w:rFonts w:ascii="Calibri" w:hAnsi="Calibri" w:eastAsia="宋体" w:cs="Helvetica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OGNkNDE1NWI5MTU5YzVhMjJjNjQ0NDE1YjBkYjkifQ=="/>
  </w:docVars>
  <w:rsids>
    <w:rsidRoot w:val="00030620"/>
    <w:rsid w:val="00030620"/>
    <w:rsid w:val="00075A6F"/>
    <w:rsid w:val="009C3378"/>
    <w:rsid w:val="00D667B4"/>
    <w:rsid w:val="042F62B6"/>
    <w:rsid w:val="059E1945"/>
    <w:rsid w:val="072639A0"/>
    <w:rsid w:val="08766BA9"/>
    <w:rsid w:val="08E41D65"/>
    <w:rsid w:val="08F73037"/>
    <w:rsid w:val="08FC2723"/>
    <w:rsid w:val="099E06E1"/>
    <w:rsid w:val="0B185CF6"/>
    <w:rsid w:val="0B637EC8"/>
    <w:rsid w:val="0C2030B4"/>
    <w:rsid w:val="0D2E35AF"/>
    <w:rsid w:val="0DBA7538"/>
    <w:rsid w:val="0FB00BF3"/>
    <w:rsid w:val="0FE92EC6"/>
    <w:rsid w:val="10DC162F"/>
    <w:rsid w:val="127759F8"/>
    <w:rsid w:val="12B66520"/>
    <w:rsid w:val="135F0966"/>
    <w:rsid w:val="15802E15"/>
    <w:rsid w:val="15CE25BB"/>
    <w:rsid w:val="15E909BB"/>
    <w:rsid w:val="16040312"/>
    <w:rsid w:val="1686445B"/>
    <w:rsid w:val="18BA4890"/>
    <w:rsid w:val="18BD7EDC"/>
    <w:rsid w:val="1A5F749D"/>
    <w:rsid w:val="1B063DBD"/>
    <w:rsid w:val="1B8F790E"/>
    <w:rsid w:val="1D4B5AB7"/>
    <w:rsid w:val="1E2A2F3E"/>
    <w:rsid w:val="1F95570F"/>
    <w:rsid w:val="210E5779"/>
    <w:rsid w:val="21617F9F"/>
    <w:rsid w:val="21E07116"/>
    <w:rsid w:val="22857CBD"/>
    <w:rsid w:val="25E371D4"/>
    <w:rsid w:val="297102A1"/>
    <w:rsid w:val="2ACE5428"/>
    <w:rsid w:val="2AE8703B"/>
    <w:rsid w:val="2AFA52AB"/>
    <w:rsid w:val="2BE27F2E"/>
    <w:rsid w:val="2C950AFD"/>
    <w:rsid w:val="2CCB6C14"/>
    <w:rsid w:val="2D003F49"/>
    <w:rsid w:val="33B201E6"/>
    <w:rsid w:val="341B5D8B"/>
    <w:rsid w:val="356419B4"/>
    <w:rsid w:val="36534F12"/>
    <w:rsid w:val="368A544A"/>
    <w:rsid w:val="36CA3A99"/>
    <w:rsid w:val="37531CE0"/>
    <w:rsid w:val="384804DB"/>
    <w:rsid w:val="387B329C"/>
    <w:rsid w:val="3894435E"/>
    <w:rsid w:val="3A1D42D9"/>
    <w:rsid w:val="3A40479E"/>
    <w:rsid w:val="3B251BE5"/>
    <w:rsid w:val="3B3E6803"/>
    <w:rsid w:val="3CEB6517"/>
    <w:rsid w:val="3DC54FBA"/>
    <w:rsid w:val="3E647670"/>
    <w:rsid w:val="3EA64DEB"/>
    <w:rsid w:val="3F6902F3"/>
    <w:rsid w:val="40EC7A39"/>
    <w:rsid w:val="41700E60"/>
    <w:rsid w:val="43413297"/>
    <w:rsid w:val="45E03C97"/>
    <w:rsid w:val="46647A66"/>
    <w:rsid w:val="46B67FEF"/>
    <w:rsid w:val="47E56984"/>
    <w:rsid w:val="4847319B"/>
    <w:rsid w:val="48A14165"/>
    <w:rsid w:val="49227764"/>
    <w:rsid w:val="4A5849F3"/>
    <w:rsid w:val="4A5D4EF8"/>
    <w:rsid w:val="4A6D5CA1"/>
    <w:rsid w:val="4A85064D"/>
    <w:rsid w:val="4C6B2581"/>
    <w:rsid w:val="4CF5766A"/>
    <w:rsid w:val="4DB36BDD"/>
    <w:rsid w:val="4E261AA5"/>
    <w:rsid w:val="4F90367A"/>
    <w:rsid w:val="51D81308"/>
    <w:rsid w:val="529E28DC"/>
    <w:rsid w:val="52FE647D"/>
    <w:rsid w:val="53141BD3"/>
    <w:rsid w:val="535449BE"/>
    <w:rsid w:val="54A379AB"/>
    <w:rsid w:val="57A06424"/>
    <w:rsid w:val="5A700B4B"/>
    <w:rsid w:val="5B102666"/>
    <w:rsid w:val="5C101B79"/>
    <w:rsid w:val="5C3B1A12"/>
    <w:rsid w:val="5CF10BF1"/>
    <w:rsid w:val="5F4B4EC7"/>
    <w:rsid w:val="5F804EB9"/>
    <w:rsid w:val="603E67DA"/>
    <w:rsid w:val="609B1E7E"/>
    <w:rsid w:val="628E1C9B"/>
    <w:rsid w:val="62DD37B2"/>
    <w:rsid w:val="64092D8A"/>
    <w:rsid w:val="64754794"/>
    <w:rsid w:val="65F55B8D"/>
    <w:rsid w:val="664D3C1B"/>
    <w:rsid w:val="6680508C"/>
    <w:rsid w:val="67815789"/>
    <w:rsid w:val="6A1231B1"/>
    <w:rsid w:val="6B056872"/>
    <w:rsid w:val="6BDF41BA"/>
    <w:rsid w:val="6D394EF9"/>
    <w:rsid w:val="6FD24024"/>
    <w:rsid w:val="70BC7066"/>
    <w:rsid w:val="7194035C"/>
    <w:rsid w:val="73104006"/>
    <w:rsid w:val="73D071E0"/>
    <w:rsid w:val="74600FBD"/>
    <w:rsid w:val="75752A3F"/>
    <w:rsid w:val="76A71125"/>
    <w:rsid w:val="77DA4BE2"/>
    <w:rsid w:val="784D1858"/>
    <w:rsid w:val="795B5C00"/>
    <w:rsid w:val="7AC73B44"/>
    <w:rsid w:val="7D0C200D"/>
    <w:rsid w:val="7E1C7D03"/>
    <w:rsid w:val="7F6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1907</Words>
  <Characters>2191</Characters>
  <Lines>14</Lines>
  <Paragraphs>4</Paragraphs>
  <TotalTime>0</TotalTime>
  <ScaleCrop>false</ScaleCrop>
  <LinksUpToDate>false</LinksUpToDate>
  <CharactersWithSpaces>2192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2022-04-24T08:44:00Z</dcterms:created>
  <dc:creator>Administrator</dc:creator>
  <cp:lastModifiedBy>向阳</cp:lastModifiedBy>
  <cp:lastPrinted>2023-04-17T07:36:23Z</cp:lastPrinted>
  <dcterms:modified xsi:type="dcterms:W3CDTF">2023-04-17T07:37:27Z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92C574133107448FB189F2F81C3C4A19</vt:lpwstr>
  </property>
  <property fmtid="{D5CDD505-2E9C-101B-9397-08002B2CF9AE}" pid="4" name="commondata">
    <vt:lpwstr>eyJoZGlkIjoiNjhjY2IxYWE0YjI2YmNlZmIwMmM2MDEzZDk4ODBiYWEifQ==</vt:lpwstr>
  </property>
</Properties>
</file>