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F27DE">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1"/>
        <w:rPr>
          <w:rFonts w:hint="eastAsia" w:ascii="方正小标宋简体" w:hAnsi="方正小标宋简体" w:eastAsia="方正小标宋简体" w:cs="方正小标宋简体"/>
          <w:color w:val="auto"/>
          <w:sz w:val="44"/>
          <w:szCs w:val="44"/>
          <w:highlight w:val="none"/>
          <w:shd w:val="clear" w:color="auto" w:fill="FFFFFF"/>
          <w:lang w:val="en-US" w:eastAsia="zh-CN"/>
        </w:rPr>
      </w:pPr>
      <w:r>
        <w:rPr>
          <w:rFonts w:hint="eastAsia" w:ascii="方正小标宋简体" w:hAnsi="方正小标宋简体" w:eastAsia="方正小标宋简体" w:cs="方正小标宋简体"/>
          <w:color w:val="auto"/>
          <w:sz w:val="44"/>
          <w:szCs w:val="44"/>
          <w:highlight w:val="none"/>
          <w:shd w:val="clear" w:color="auto" w:fill="FFFFFF"/>
          <w:lang w:val="en-US" w:eastAsia="zh-CN"/>
        </w:rPr>
        <w:t>甘州区重污染天气应急预案</w:t>
      </w:r>
    </w:p>
    <w:p w14:paraId="63DCD3A7">
      <w:pPr>
        <w:rPr>
          <w:rFonts w:hint="eastAsia"/>
        </w:rPr>
      </w:pPr>
    </w:p>
    <w:p w14:paraId="175B457C">
      <w:pPr>
        <w:rPr>
          <w:rFonts w:hint="eastAsia"/>
        </w:rPr>
      </w:pPr>
    </w:p>
    <w:p w14:paraId="7AC435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1.总则</w:t>
      </w:r>
    </w:p>
    <w:p w14:paraId="5BE6AC3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1.1 编制目的</w:t>
      </w:r>
    </w:p>
    <w:p w14:paraId="0F55A8F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为全面打赢蓝天保卫战，进一步健全完善全区重污染天气预警和应急响应机制，依法依规落实重污染天气应急响应工作机制，及时发布相应级别预警，采取有效措施，确保重污染天气应急工作高效、有序进行，不断提高大气环境精细化管理水平，减轻重污染天气污染强度，削减污染峰值，切实减轻重污染天气对人民群众生产生活的影响，</w:t>
      </w:r>
      <w:r>
        <w:rPr>
          <w:rFonts w:hint="eastAsia" w:ascii="仿宋_GB2312" w:hAnsi="仿宋_GB2312" w:eastAsia="仿宋_GB2312" w:cs="仿宋_GB2312"/>
          <w:sz w:val="32"/>
          <w:szCs w:val="32"/>
          <w:lang w:val="en-US" w:eastAsia="zh-CN"/>
        </w:rPr>
        <w:t>保障公众健康，维护社会稳定，</w:t>
      </w:r>
      <w:r>
        <w:rPr>
          <w:rFonts w:hint="eastAsia" w:ascii="仿宋_GB2312" w:hAnsi="仿宋_GB2312" w:eastAsia="仿宋_GB2312" w:cs="仿宋_GB2312"/>
          <w:color w:val="auto"/>
          <w:sz w:val="32"/>
          <w:szCs w:val="32"/>
          <w:u w:val="none"/>
        </w:rPr>
        <w:t>制订</w:t>
      </w:r>
      <w:r>
        <w:rPr>
          <w:rFonts w:hint="eastAsia" w:ascii="仿宋_GB2312" w:hAnsi="仿宋_GB2312" w:eastAsia="仿宋_GB2312" w:cs="仿宋_GB2312"/>
          <w:sz w:val="32"/>
          <w:szCs w:val="32"/>
        </w:rPr>
        <w:t>本预案。</w:t>
      </w:r>
    </w:p>
    <w:p w14:paraId="6B89F65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1.2 编制依据</w:t>
      </w:r>
    </w:p>
    <w:p w14:paraId="50A3A85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《中华人民共和国</w:t>
      </w:r>
      <w:r>
        <w:rPr>
          <w:rFonts w:hint="eastAsia" w:ascii="仿宋_GB2312" w:hAnsi="仿宋_GB2312" w:eastAsia="仿宋_GB2312" w:cs="仿宋_GB2312"/>
          <w:sz w:val="32"/>
          <w:szCs w:val="32"/>
          <w:lang w:val="en-US" w:eastAsia="zh-CN"/>
        </w:rPr>
        <w:t>生态</w:t>
      </w:r>
      <w:r>
        <w:rPr>
          <w:rFonts w:hint="eastAsia" w:ascii="仿宋_GB2312" w:hAnsi="仿宋_GB2312" w:eastAsia="仿宋_GB2312" w:cs="仿宋_GB2312"/>
          <w:sz w:val="32"/>
          <w:szCs w:val="32"/>
        </w:rPr>
        <w:t>环境</w:t>
      </w:r>
      <w:r>
        <w:rPr>
          <w:rFonts w:hint="eastAsia" w:ascii="仿宋_GB2312" w:hAnsi="仿宋_GB2312" w:eastAsia="仿宋_GB2312" w:cs="仿宋_GB2312"/>
          <w:sz w:val="32"/>
          <w:szCs w:val="32"/>
          <w:lang w:val="en-US" w:eastAsia="zh-CN"/>
        </w:rPr>
        <w:t>法典</w:t>
      </w:r>
      <w:r>
        <w:rPr>
          <w:rFonts w:hint="eastAsia" w:ascii="仿宋_GB2312" w:hAnsi="仿宋_GB2312" w:eastAsia="仿宋_GB2312" w:cs="仿宋_GB2312"/>
          <w:sz w:val="32"/>
          <w:szCs w:val="32"/>
        </w:rPr>
        <w:t>》《中华人民共和国突发事件应对法》《国务院关于印发打赢蓝天保卫战三年行动计划的通知》《国家突发环境事件应急预案》《环境空气质量标准》《甘肃省环境保护条例》《甘肃省大气污染防治条例》《环境空气质量指数（AQI）技术规范》《关于推进重污染天气应急预案修订工作的指导意见》《关于印送〈加强重污染天气应对夯实应急减排措施的指导意见〉的函》《甘肃省重污染天气应急预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《甘肃省突发环境事件应急预案》《甘肃省突发事件预警信息发布管理办法》</w:t>
      </w:r>
      <w:r>
        <w:rPr>
          <w:rFonts w:hint="eastAsia" w:ascii="仿宋_GB2312" w:hAnsi="仿宋_GB2312" w:eastAsia="仿宋_GB2312" w:cs="仿宋_GB2312"/>
          <w:color w:val="000000" w:themeColor="text1"/>
          <w:sz w:val="32"/>
          <w:szCs w:val="32"/>
          <w14:textFill>
            <w14:solidFill>
              <w14:schemeClr w14:val="tx1"/>
            </w14:solidFill>
          </w14:textFill>
        </w:rPr>
        <w:t>《张掖市大气污染防治条例》</w:t>
      </w:r>
      <w:r>
        <w:rPr>
          <w:rFonts w:hint="eastAsia" w:ascii="仿宋_GB2312" w:hAnsi="仿宋_GB2312" w:eastAsia="仿宋_GB2312" w:cs="仿宋_GB2312"/>
          <w:sz w:val="32"/>
          <w:szCs w:val="32"/>
        </w:rPr>
        <w:t>《张掖市重污染天气应急预案》《甘州区突发事件总体应急预案》等相关</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和规范性文件。</w:t>
      </w:r>
    </w:p>
    <w:p w14:paraId="5BC5D5A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1.3 适用范围</w:t>
      </w:r>
    </w:p>
    <w:p w14:paraId="257B39A8">
      <w:pPr>
        <w:pStyle w:val="2"/>
        <w:pageBreakBefore w:val="0"/>
        <w:wordWrap/>
        <w:overflowPunct/>
        <w:topLinePunct w:val="0"/>
        <w:bidi w:val="0"/>
        <w:spacing w:line="56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仿宋_GB2312" w:hAnsi="仿宋_GB2312" w:eastAsia="仿宋_GB2312" w:cs="仿宋_GB2312"/>
          <w:b w:val="0"/>
          <w:bCs w:val="0"/>
          <w:kern w:val="2"/>
          <w:sz w:val="32"/>
          <w:szCs w:val="32"/>
          <w:lang w:val="en-US" w:eastAsia="zh-CN" w:bidi="ar-SA"/>
        </w:rPr>
        <w:t>本预案适用于甘州区行政区域内发生重污染天气的预警和应急响应工作。因沙尘造成的重污染天气，参照沙尘天气相关要求执行，不纳入本应急预</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案范畴。对不同污染物造成的重污染天气，采取差异化应对措施。因细颗粒物（PM</w:t>
      </w:r>
      <w:r>
        <w:rPr>
          <w:rFonts w:hint="eastAsia" w:ascii="仿宋_GB2312" w:hAnsi="仿宋_GB2312" w:eastAsia="仿宋_GB2312" w:cs="仿宋_GB2312"/>
          <w:b w:val="0"/>
          <w:bCs w:val="0"/>
          <w:color w:val="000000" w:themeColor="text1"/>
          <w:kern w:val="2"/>
          <w:sz w:val="32"/>
          <w:szCs w:val="32"/>
          <w:vertAlign w:val="subscript"/>
          <w:lang w:val="en-US" w:eastAsia="zh-CN" w:bidi="ar-SA"/>
          <w14:textFill>
            <w14:solidFill>
              <w14:schemeClr w14:val="tx1"/>
            </w14:solidFill>
          </w14:textFill>
        </w:rPr>
        <w:t>2.5</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）污染造成的重污染天气，应严格按照法典中有关规定积极应对，应急减排措施应依法按照国家有关技术指南制定。因臭氧（O</w:t>
      </w:r>
      <w:r>
        <w:rPr>
          <w:rFonts w:hint="eastAsia" w:ascii="仿宋_GB2312" w:hAnsi="仿宋_GB2312" w:eastAsia="仿宋_GB2312" w:cs="仿宋_GB2312"/>
          <w:b w:val="0"/>
          <w:bCs w:val="0"/>
          <w:color w:val="000000" w:themeColor="text1"/>
          <w:kern w:val="2"/>
          <w:sz w:val="32"/>
          <w:szCs w:val="32"/>
          <w:vertAlign w:val="subscript"/>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）污染造成的重污染天气，应及时向社会发布健康提示信息，同时加强对挥发性有机物（VOCs）和氮氧化物（NOx）排放源的日常监管。</w:t>
      </w:r>
    </w:p>
    <w:p w14:paraId="6B8F372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1.4 预案衔接</w:t>
      </w:r>
    </w:p>
    <w:p w14:paraId="433C6973">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是《甘州区突发事件总体应急预案》《甘州区突发环境事件应急预案》体系的组成部分，与市级重污染天气应急预案紧密衔接。《甘州区重污染天气应急预案》和各成员单位重污染天气应急实施方案共同组成甘州区重污染天气应急预案体系。</w:t>
      </w:r>
    </w:p>
    <w:p w14:paraId="5D1DCE1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当甘州区发生重污染天气突发</w:t>
      </w:r>
      <w:r>
        <w:rPr>
          <w:rFonts w:hint="eastAsia" w:ascii="仿宋_GB2312" w:hAnsi="仿宋_GB2312" w:eastAsia="仿宋_GB2312" w:cs="仿宋_GB2312"/>
          <w:sz w:val="32"/>
          <w:szCs w:val="32"/>
          <w:lang w:val="en-US" w:eastAsia="zh-CN"/>
        </w:rPr>
        <w:t>生态</w:t>
      </w:r>
      <w:r>
        <w:rPr>
          <w:rFonts w:hint="eastAsia" w:ascii="仿宋_GB2312" w:hAnsi="仿宋_GB2312" w:eastAsia="仿宋_GB2312" w:cs="仿宋_GB2312"/>
          <w:sz w:val="32"/>
          <w:szCs w:val="32"/>
        </w:rPr>
        <w:t>环境事件时，区重污染天气应急组织机构各成员单位根据本预案要求的职责范围制定各自配套的应急工作实施方案，并认真组织实施。</w:t>
      </w:r>
    </w:p>
    <w:p w14:paraId="2E21920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当市政府启动《张掖市重污染天气应急预案》时，区重污染天气应急组织机构与市重污染天气应急组织机构进行应急联动，配合市应急组织机构开展应急处置工作，负责本行政区域内重污染天气应急处置工作。</w:t>
      </w:r>
    </w:p>
    <w:p w14:paraId="08BCC88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1.5 工作原则</w:t>
      </w:r>
    </w:p>
    <w:p w14:paraId="088D60E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人为本，预防为主。坚持人民至上、生命至上，把保障群众身体健康和公共安全作为一切工作的出发点和落脚点。立足源头管控、关口前移，变被动处置为主动防范，常态化开展风险隐患排查、问题整治和常态监管，最大限度降低突发事件、环境污染风险，从根本上减少事故和污染天气发生。</w:t>
      </w:r>
    </w:p>
    <w:p w14:paraId="7DE2A06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科学预警，及时响应。依托全区监测监控体系、气象研判和环境数据分析，实现风险早发现、早研判、早预警。严格执行分级分类响应机制，预警发布即启动管控准备，达到响应阈值立即启动对应等级应急措施，做到反应迅速、处置果断、闭环管控。</w:t>
      </w:r>
    </w:p>
    <w:p w14:paraId="0A13B55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部门联动，协调应对。健全多部门联动工作机制，明确职责分工、互通信息、协同执法、联合管控。面对突发情况统一调度、协同处置，避免各自为政、重复监管、管控空档，提升综合治理效能。</w:t>
      </w:r>
    </w:p>
    <w:p w14:paraId="6072013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信息公开，社会参与。坚持公开透明原则，依法依规公开预警信息、管控措施、治理成效、应急处置情况。畅通社会监督渠道，引导企业自觉履责、群众主动参与，增强公众自我防护及参与意识。</w:t>
      </w:r>
    </w:p>
    <w:p w14:paraId="6590DA4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突出重点，精准减排。立足甘州区产业布局、污染源分布特点，聚焦砂石料加工、建筑工地、道路扬尘、工业企业、涉气污染源等重点领域、重点区域、重点时段。不搞“一刀切”，分类施策、靶向治理，实现精准控污、精准减排、精准治险。</w:t>
      </w:r>
    </w:p>
    <w:p w14:paraId="67D26EC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措施可行，有据可查。所有防控措施、管控要求、应急处置和隐患整改均贴合辖区实际、具备可操作性、可落地、可执行。全过程留存巡查记录、台账资料、执法影像、调度记录、整改资料，做到流程规范、闭环管理、全程可溯、有据可查。</w:t>
      </w:r>
    </w:p>
    <w:p w14:paraId="315713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黑体" w:hAnsi="黑体" w:eastAsia="黑体" w:cs="黑体"/>
          <w:sz w:val="32"/>
          <w:szCs w:val="32"/>
        </w:rPr>
        <w:t>2.应急组织体系与职责</w:t>
      </w:r>
    </w:p>
    <w:p w14:paraId="01E6EE4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2.1 区重污染天气应急指挥部及其职责</w:t>
      </w:r>
    </w:p>
    <w:p w14:paraId="4AFDF2A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成立甘州区重污染天气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，总指挥由区政府分管生态环境工作的</w:t>
      </w:r>
      <w:r>
        <w:rPr>
          <w:rFonts w:hint="eastAsia" w:ascii="仿宋_GB2312" w:hAnsi="仿宋_GB2312" w:eastAsia="仿宋_GB2312" w:cs="仿宋_GB2312"/>
          <w:sz w:val="32"/>
          <w:szCs w:val="32"/>
          <w:lang w:val="en-US" w:eastAsia="zh-CN"/>
        </w:rPr>
        <w:t>区级领导</w:t>
      </w:r>
      <w:r>
        <w:rPr>
          <w:rFonts w:hint="eastAsia" w:ascii="仿宋_GB2312" w:hAnsi="仿宋_GB2312" w:eastAsia="仿宋_GB2312" w:cs="仿宋_GB2312"/>
          <w:sz w:val="32"/>
          <w:szCs w:val="32"/>
        </w:rPr>
        <w:t>担任，副总指挥由区政</w:t>
      </w:r>
      <w:r>
        <w:rPr>
          <w:rFonts w:hint="eastAsia" w:ascii="仿宋_GB2312" w:hAnsi="仿宋_GB2312" w:eastAsia="仿宋_GB2312" w:cs="仿宋_GB2312"/>
          <w:sz w:val="32"/>
          <w:szCs w:val="32"/>
          <w:lang w:val="en-US" w:eastAsia="zh-CN"/>
        </w:rPr>
        <w:t>府机关党委书记、办公室主任</w:t>
      </w:r>
      <w:r>
        <w:rPr>
          <w:rFonts w:hint="eastAsia" w:ascii="仿宋_GB2312" w:hAnsi="仿宋_GB2312" w:eastAsia="仿宋_GB2312" w:cs="仿宋_GB2312"/>
          <w:sz w:val="32"/>
          <w:szCs w:val="32"/>
        </w:rPr>
        <w:t>、市生态环境局甘州分局局长、区气象局局长担任，成员由区城市管理局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区卫生健康局、区委宣传部（区政府新闻办）、市自然资源局甘州分局、区发展改革局、区财政局、区应急管理局、区工信局、区市场监管局、</w:t>
      </w:r>
      <w:r>
        <w:rPr>
          <w:rFonts w:hint="eastAsia" w:ascii="仿宋_GB2312" w:hAnsi="仿宋_GB2312" w:eastAsia="仿宋_GB2312" w:cs="仿宋_GB2312"/>
          <w:sz w:val="32"/>
          <w:szCs w:val="32"/>
          <w:lang w:val="en-US" w:eastAsia="zh-CN"/>
        </w:rPr>
        <w:t>区水务局、</w:t>
      </w:r>
      <w:r>
        <w:rPr>
          <w:rFonts w:hint="eastAsia" w:ascii="仿宋_GB2312" w:hAnsi="仿宋_GB2312" w:eastAsia="仿宋_GB2312" w:cs="仿宋_GB2312"/>
          <w:color w:val="000000" w:themeColor="text1"/>
          <w:sz w:val="32"/>
          <w:szCs w:val="32"/>
          <w:lang w:eastAsia="zh-CN"/>
          <w14:textFill>
            <w14:solidFill>
              <w14:schemeClr w14:val="tx1"/>
            </w14:solidFill>
          </w14:textFill>
        </w:rPr>
        <w:t>区林草局</w:t>
      </w:r>
      <w:r>
        <w:rPr>
          <w:rFonts w:hint="eastAsia" w:ascii="仿宋_GB2312" w:hAnsi="仿宋_GB2312" w:eastAsia="仿宋_GB2312" w:cs="仿宋_GB2312"/>
          <w:sz w:val="32"/>
          <w:szCs w:val="32"/>
        </w:rPr>
        <w:t>、区农业农村局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区消防救援局</w:t>
      </w:r>
      <w:r>
        <w:rPr>
          <w:rFonts w:hint="eastAsia" w:ascii="仿宋_GB2312" w:hAnsi="仿宋_GB2312" w:eastAsia="仿宋_GB2312" w:cs="仿宋_GB2312"/>
          <w:sz w:val="32"/>
          <w:szCs w:val="32"/>
        </w:rPr>
        <w:t>、区交通运输局、区教育局、区住建局、市公安局甘州分局、市生态环境局甘州分局</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各乡镇、街道等</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负责人组成，根据工作需要，可增加其他部门和单位负责同志。</w:t>
      </w:r>
    </w:p>
    <w:p w14:paraId="547ADFC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u w:val="none"/>
        </w:rPr>
        <w:t>区</w:t>
      </w:r>
      <w:r>
        <w:rPr>
          <w:rFonts w:hint="eastAsia" w:ascii="仿宋_GB2312" w:hAnsi="仿宋_GB2312" w:eastAsia="仿宋_GB2312" w:cs="仿宋_GB2312"/>
          <w:color w:val="auto"/>
          <w:sz w:val="32"/>
          <w:szCs w:val="32"/>
          <w:u w:val="none"/>
          <w:lang w:eastAsia="zh-CN"/>
        </w:rPr>
        <w:t>重污染天气应急指挥部</w:t>
      </w:r>
      <w:r>
        <w:rPr>
          <w:rFonts w:hint="eastAsia" w:ascii="仿宋_GB2312" w:hAnsi="仿宋_GB2312" w:eastAsia="仿宋_GB2312" w:cs="仿宋_GB2312"/>
          <w:color w:val="auto"/>
          <w:sz w:val="32"/>
          <w:szCs w:val="32"/>
          <w:u w:val="none"/>
        </w:rPr>
        <w:t>主要职责：</w:t>
      </w:r>
      <w:r>
        <w:rPr>
          <w:rFonts w:hint="eastAsia" w:ascii="仿宋_GB2312" w:hAnsi="仿宋_GB2312" w:eastAsia="仿宋_GB2312" w:cs="仿宋_GB2312"/>
          <w:sz w:val="32"/>
          <w:szCs w:val="32"/>
        </w:rPr>
        <w:t>贯彻落实国家和省、市关于重污染天气应对工作的精神和决策部署；统一组织和指挥协调重污染天气应急指挥工作；研究决定重污染天气应急处置的有关问题，作出决策，下达指令，并视情况向区委、区政府报告；协调调度重污染天气应急处置力量和资源；根据重污染天气的变化趋势与处置效果及时调整应急行动并适时宣布应急响应终止；负责重污染天气的信息发布工作。</w:t>
      </w:r>
    </w:p>
    <w:p w14:paraId="6BF1FF2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2.2 区重污染天气应急指挥部办公室及其职责</w:t>
      </w:r>
    </w:p>
    <w:p w14:paraId="6E4B510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none"/>
        </w:rPr>
        <w:t>区</w:t>
      </w:r>
      <w:r>
        <w:rPr>
          <w:rFonts w:hint="eastAsia" w:ascii="仿宋_GB2312" w:hAnsi="仿宋_GB2312" w:eastAsia="仿宋_GB2312" w:cs="仿宋_GB2312"/>
          <w:sz w:val="32"/>
          <w:szCs w:val="32"/>
          <w:highlight w:val="none"/>
          <w:u w:val="none"/>
          <w:lang w:eastAsia="zh-CN"/>
        </w:rPr>
        <w:t>重污染天气应急指挥部</w:t>
      </w:r>
      <w:r>
        <w:rPr>
          <w:rFonts w:hint="eastAsia" w:ascii="仿宋_GB2312" w:hAnsi="仿宋_GB2312" w:eastAsia="仿宋_GB2312" w:cs="仿宋_GB2312"/>
          <w:sz w:val="32"/>
          <w:szCs w:val="32"/>
          <w:highlight w:val="none"/>
          <w:u w:val="none"/>
        </w:rPr>
        <w:t>办公室设在市生态环境局甘州分局，办公室主任由市生态环</w:t>
      </w:r>
      <w:r>
        <w:rPr>
          <w:rFonts w:hint="eastAsia" w:ascii="仿宋_GB2312" w:hAnsi="仿宋_GB2312" w:eastAsia="仿宋_GB2312" w:cs="仿宋_GB2312"/>
          <w:sz w:val="32"/>
          <w:szCs w:val="32"/>
          <w:highlight w:val="none"/>
        </w:rPr>
        <w:t>境局甘州分局局长兼任。</w:t>
      </w:r>
    </w:p>
    <w:p w14:paraId="7B042EC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u w:val="none"/>
          <w:lang w:eastAsia="zh-CN"/>
        </w:rPr>
        <w:t>重污染天气应急指挥部</w:t>
      </w:r>
      <w:r>
        <w:rPr>
          <w:rFonts w:hint="eastAsia" w:ascii="仿宋_GB2312" w:hAnsi="仿宋_GB2312" w:eastAsia="仿宋_GB2312" w:cs="仿宋_GB2312"/>
          <w:sz w:val="32"/>
          <w:szCs w:val="32"/>
          <w:u w:val="none"/>
        </w:rPr>
        <w:t>办公室主要职责：承担区</w:t>
      </w:r>
      <w:r>
        <w:rPr>
          <w:rFonts w:hint="eastAsia" w:ascii="仿宋_GB2312" w:hAnsi="仿宋_GB2312" w:eastAsia="仿宋_GB2312" w:cs="仿宋_GB2312"/>
          <w:sz w:val="32"/>
          <w:szCs w:val="32"/>
          <w:u w:val="none"/>
          <w:lang w:eastAsia="zh-CN"/>
        </w:rPr>
        <w:t>重污染天气应急指挥部</w:t>
      </w:r>
      <w:r>
        <w:rPr>
          <w:rFonts w:hint="eastAsia" w:ascii="仿宋_GB2312" w:hAnsi="仿宋_GB2312" w:eastAsia="仿宋_GB2312" w:cs="仿宋_GB2312"/>
          <w:sz w:val="32"/>
          <w:szCs w:val="32"/>
          <w:u w:val="none"/>
        </w:rPr>
        <w:t>日常工作；负责贯彻执行区</w:t>
      </w:r>
      <w:r>
        <w:rPr>
          <w:rFonts w:hint="eastAsia" w:ascii="仿宋_GB2312" w:hAnsi="仿宋_GB2312" w:eastAsia="仿宋_GB2312" w:cs="仿宋_GB2312"/>
          <w:sz w:val="32"/>
          <w:szCs w:val="32"/>
          <w:u w:val="none"/>
          <w:lang w:eastAsia="zh-CN"/>
        </w:rPr>
        <w:t>重污染天气应急指挥部</w:t>
      </w:r>
      <w:r>
        <w:rPr>
          <w:rFonts w:hint="eastAsia" w:ascii="仿宋_GB2312" w:hAnsi="仿宋_GB2312" w:eastAsia="仿宋_GB2312" w:cs="仿宋_GB2312"/>
          <w:sz w:val="32"/>
          <w:szCs w:val="32"/>
          <w:u w:val="none"/>
        </w:rPr>
        <w:t>的决策和工作部署，分解落实各项工作任务，协调推进重污染天气预防及应对工作；组织专家及成员单位对重污染天气进行分析研判，提出预警和响应及减缓重污染天气的建议</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及时传达落实区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u w:val="none"/>
          <w:lang w:eastAsia="zh-CN"/>
        </w:rPr>
        <w:t>应急指挥部</w:t>
      </w:r>
      <w:r>
        <w:rPr>
          <w:rFonts w:hint="eastAsia" w:ascii="仿宋_GB2312" w:hAnsi="仿宋_GB2312" w:eastAsia="仿宋_GB2312" w:cs="仿宋_GB2312"/>
          <w:sz w:val="32"/>
          <w:szCs w:val="32"/>
          <w:u w:val="none"/>
        </w:rPr>
        <w:t>的指示批示，协调有关部门和单位开展</w:t>
      </w:r>
      <w:r>
        <w:rPr>
          <w:rFonts w:hint="eastAsia" w:ascii="仿宋_GB2312" w:hAnsi="仿宋_GB2312" w:eastAsia="仿宋_GB2312" w:cs="仿宋_GB2312"/>
          <w:sz w:val="32"/>
          <w:szCs w:val="32"/>
        </w:rPr>
        <w:t>重污染天气应对处置工作；负责收集、分析工作信息，及时向区委、区政府报告；根据</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授权，做好重污染天气信息发布工作，并监督管理宣传报道和信息发布等事项；组织开展本区重污染天气应急演练、宣传教育与培训；</w:t>
      </w:r>
      <w:r>
        <w:rPr>
          <w:rFonts w:hint="eastAsia" w:ascii="仿宋_GB2312" w:hAnsi="仿宋_GB2312" w:eastAsia="仿宋_GB2312" w:cs="仿宋_GB2312"/>
          <w:sz w:val="32"/>
          <w:szCs w:val="32"/>
          <w:u w:val="none"/>
        </w:rPr>
        <w:t>承办区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u w:val="none"/>
          <w:lang w:eastAsia="zh-CN"/>
        </w:rPr>
        <w:t>应急指挥部</w:t>
      </w:r>
      <w:r>
        <w:rPr>
          <w:rFonts w:hint="eastAsia" w:ascii="仿宋_GB2312" w:hAnsi="仿宋_GB2312" w:eastAsia="仿宋_GB2312" w:cs="仿宋_GB2312"/>
          <w:sz w:val="32"/>
          <w:szCs w:val="32"/>
        </w:rPr>
        <w:t>交办的其他事项。</w:t>
      </w:r>
    </w:p>
    <w:p w14:paraId="27F6BEA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2.3 重污染天气应急处置工作组</w:t>
      </w:r>
    </w:p>
    <w:p w14:paraId="041A45C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区</w:t>
      </w:r>
      <w:r>
        <w:rPr>
          <w:rFonts w:hint="eastAsia" w:ascii="仿宋_GB2312" w:hAnsi="仿宋_GB2312" w:eastAsia="仿宋_GB2312" w:cs="仿宋_GB2312"/>
          <w:sz w:val="32"/>
          <w:szCs w:val="32"/>
          <w:u w:val="none"/>
          <w:lang w:eastAsia="zh-CN"/>
        </w:rPr>
        <w:t>重污染天气应急指挥部</w:t>
      </w:r>
      <w:r>
        <w:rPr>
          <w:rFonts w:hint="eastAsia" w:ascii="仿宋_GB2312" w:hAnsi="仿宋_GB2312" w:eastAsia="仿宋_GB2312" w:cs="仿宋_GB2312"/>
          <w:sz w:val="32"/>
          <w:szCs w:val="32"/>
          <w:u w:val="none"/>
        </w:rPr>
        <w:t>下设8个应急处置工作组，分别为监测预警组、健康防护组、污染控制组、宣传报道组、气象干预组、后勤保障组、专家组及监督检查组。具体分工及职责如下：</w:t>
      </w:r>
    </w:p>
    <w:p w14:paraId="72A506A6">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2.3.1</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监测预警组。</w:t>
      </w:r>
    </w:p>
    <w:p w14:paraId="1328B7C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rPr>
        <w:t>由市生态环境局甘州分局、区气象局及有关专家组成。市生态环境局甘州分局负责协调</w:t>
      </w:r>
      <w:r>
        <w:rPr>
          <w:rFonts w:hint="eastAsia" w:ascii="仿宋_GB2312" w:hAnsi="仿宋_GB2312" w:eastAsia="仿宋_GB2312" w:cs="仿宋_GB2312"/>
          <w:sz w:val="32"/>
          <w:szCs w:val="32"/>
          <w:u w:val="none"/>
          <w:lang w:val="en-US" w:eastAsia="zh-CN"/>
        </w:rPr>
        <w:t>甘肃省</w:t>
      </w:r>
      <w:r>
        <w:rPr>
          <w:rFonts w:hint="eastAsia" w:ascii="仿宋_GB2312" w:hAnsi="仿宋_GB2312" w:eastAsia="仿宋_GB2312" w:cs="仿宋_GB2312"/>
          <w:sz w:val="32"/>
          <w:szCs w:val="32"/>
          <w:u w:val="none"/>
        </w:rPr>
        <w:t>张掖生态环境监测中心，对全区常规环境空气质量进行监测，为重污染天气提供监测数据信息。区气象局负责日常气象监测，为</w:t>
      </w:r>
      <w:r>
        <w:rPr>
          <w:rFonts w:hint="eastAsia" w:ascii="仿宋_GB2312" w:hAnsi="仿宋_GB2312" w:eastAsia="仿宋_GB2312" w:cs="仿宋_GB2312"/>
          <w:sz w:val="32"/>
          <w:szCs w:val="32"/>
        </w:rPr>
        <w:t>重污染天气应急预测预报提供气象信息。当空气质量指数（AQI）&gt;200和气象部门预测到未来24小时可能出现不利气象条件时，市生态环境局甘州分局应及时组织区气象局和相关专家进行会商，对环境空气质量及气象条件进行污染趋势分析，认为达到重污染天气预警条件时，监测预警组形成重污染天气预报会商意见，提供监测、预测、预报数据信息。</w:t>
      </w:r>
    </w:p>
    <w:p w14:paraId="65ED45D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C00000"/>
          <w:sz w:val="32"/>
          <w:szCs w:val="32"/>
          <w:lang w:eastAsia="zh-CN"/>
        </w:rPr>
      </w:pPr>
      <w:r>
        <w:rPr>
          <w:rFonts w:hint="eastAsia" w:ascii="仿宋_GB2312" w:hAnsi="仿宋_GB2312" w:eastAsia="仿宋_GB2312" w:cs="仿宋_GB2312"/>
          <w:sz w:val="32"/>
          <w:szCs w:val="32"/>
        </w:rPr>
        <w:t>2.3.2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rPr>
        <w:t>健康防护组</w:t>
      </w:r>
      <w:r>
        <w:rPr>
          <w:rFonts w:hint="eastAsia" w:ascii="仿宋_GB2312" w:hAnsi="仿宋_GB2312" w:eastAsia="仿宋_GB2312" w:cs="仿宋_GB2312"/>
          <w:color w:val="C00000"/>
          <w:sz w:val="32"/>
          <w:szCs w:val="32"/>
          <w:lang w:eastAsia="zh-CN"/>
        </w:rPr>
        <w:t>。</w:t>
      </w:r>
    </w:p>
    <w:p w14:paraId="5A2C8E8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由区卫生健康局牵头，区教育局等部门组成。</w:t>
      </w:r>
      <w:r>
        <w:rPr>
          <w:rFonts w:hint="eastAsia" w:ascii="仿宋_GB2312" w:hAnsi="仿宋_GB2312" w:eastAsia="仿宋_GB2312" w:cs="仿宋_GB2312"/>
          <w:color w:val="000000" w:themeColor="text1"/>
          <w:sz w:val="32"/>
          <w:szCs w:val="32"/>
          <w:lang w:eastAsia="zh-CN"/>
          <w14:textFill>
            <w14:solidFill>
              <w14:schemeClr w14:val="tx1"/>
            </w14:solidFill>
          </w14:textFill>
        </w:rPr>
        <w:t>区卫生健康局负责组织医疗卫生机构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牵头编制、修订本地重污染天气健康防护专项工作方案及医疗机构应急诊疗保障方案；开展健康科普与宣传引导、重点人群专项防护等医疗救护工作；指导本区中小学、幼儿园及同等学历学校实施健康防护工作。</w:t>
      </w:r>
      <w:r>
        <w:rPr>
          <w:rFonts w:hint="eastAsia" w:ascii="仿宋_GB2312" w:hAnsi="仿宋_GB2312" w:eastAsia="仿宋_GB2312" w:cs="仿宋_GB2312"/>
          <w:color w:val="000000" w:themeColor="text1"/>
          <w:sz w:val="32"/>
          <w:szCs w:val="32"/>
          <w14:textFill>
            <w14:solidFill>
              <w14:schemeClr w14:val="tx1"/>
            </w14:solidFill>
          </w14:textFill>
        </w:rPr>
        <w:t>区教育局负责及时将相关应急措施通知中小学、幼儿园及同等学历学校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并组织落实。</w:t>
      </w:r>
    </w:p>
    <w:p w14:paraId="2054734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污染控制组</w:t>
      </w:r>
    </w:p>
    <w:p w14:paraId="6A81A25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污染应对组。由市生态环境局甘州分局牵头，区应急管理局、区工信局等部门组成。市生态环境局甘州分局负责监督检查工业企业大气污染防治设施和工业堆场扬尘污染防治设施；市生态环境局甘州分局会同区应急管理局、区工信局负责制定工业污染企业限产停产专项实施方案，落实重污染天气应急限产、停产、关停高污染燃煤工业锅炉等差别化应对措施，并监督实施。</w:t>
      </w:r>
    </w:p>
    <w:p w14:paraId="25890C1E">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机动车污染应对组。由市公安局甘州分局牵头，区交通运输局、区城市管理局等部门组成。市公安局甘州分局会同区交通运输局制定机动车限行专项实施方案，落实机动车限行、停驶等各项机动车污染应对措施；区交通运输局负责对道路行驶的大型运输车辆污染大气情况进行监督检查，保障公共交通运力</w:t>
      </w:r>
      <w:r>
        <w:rPr>
          <w:rFonts w:hint="eastAsia" w:ascii="仿宋_GB2312" w:hAnsi="仿宋_GB2312" w:eastAsia="仿宋_GB2312" w:cs="仿宋_GB2312"/>
          <w:sz w:val="32"/>
          <w:szCs w:val="32"/>
          <w:lang w:eastAsia="zh-CN"/>
        </w:rPr>
        <w:t>。</w:t>
      </w:r>
    </w:p>
    <w:p w14:paraId="4247AA2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扬尘污染应对组。由区住建局</w:t>
      </w:r>
      <w:r>
        <w:rPr>
          <w:rFonts w:hint="eastAsia" w:ascii="仿宋_GB2312" w:hAnsi="仿宋_GB2312" w:eastAsia="仿宋_GB2312" w:cs="仿宋_GB2312"/>
          <w:sz w:val="32"/>
          <w:szCs w:val="32"/>
          <w:lang w:val="en-US" w:eastAsia="zh-CN"/>
        </w:rPr>
        <w:t>牵头，市公安局甘州分局、</w:t>
      </w:r>
      <w:r>
        <w:rPr>
          <w:rFonts w:hint="eastAsia" w:ascii="仿宋_GB2312" w:hAnsi="仿宋_GB2312" w:eastAsia="仿宋_GB2312" w:cs="仿宋_GB2312"/>
          <w:sz w:val="32"/>
          <w:szCs w:val="32"/>
        </w:rPr>
        <w:t>区城市管理局、市自然资源局甘州分局、</w:t>
      </w:r>
      <w:r>
        <w:rPr>
          <w:rFonts w:hint="eastAsia" w:ascii="仿宋_GB2312" w:hAnsi="仿宋_GB2312" w:eastAsia="仿宋_GB2312" w:cs="仿宋_GB2312"/>
          <w:sz w:val="32"/>
          <w:szCs w:val="32"/>
          <w:lang w:eastAsia="zh-CN"/>
        </w:rPr>
        <w:t>区林草局、</w:t>
      </w:r>
      <w:r>
        <w:rPr>
          <w:rFonts w:hint="eastAsia" w:ascii="仿宋_GB2312" w:hAnsi="仿宋_GB2312" w:eastAsia="仿宋_GB2312" w:cs="仿宋_GB2312"/>
          <w:sz w:val="32"/>
          <w:szCs w:val="32"/>
        </w:rPr>
        <w:t>区水务局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区交通运输局等部门组成。区住建局负责督促指导受监房屋建筑和市政工程项目制定并落实扬尘污染防治措施；区城市管理局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市公安局甘州分局</w:t>
      </w:r>
      <w:r>
        <w:rPr>
          <w:rFonts w:hint="eastAsia" w:ascii="仿宋_GB2312" w:hAnsi="仿宋_GB2312" w:eastAsia="仿宋_GB2312" w:cs="仿宋_GB2312"/>
          <w:sz w:val="32"/>
          <w:szCs w:val="32"/>
        </w:rPr>
        <w:t>负责对</w:t>
      </w:r>
      <w:r>
        <w:rPr>
          <w:rFonts w:hint="eastAsia" w:ascii="仿宋_GB2312" w:hAnsi="仿宋_GB2312" w:eastAsia="仿宋_GB2312" w:cs="仿宋_GB2312"/>
          <w:sz w:val="32"/>
          <w:szCs w:val="32"/>
          <w:lang w:val="en-US" w:eastAsia="zh-CN"/>
        </w:rPr>
        <w:t>运输</w:t>
      </w:r>
      <w:r>
        <w:rPr>
          <w:rFonts w:hint="eastAsia" w:ascii="仿宋_GB2312" w:hAnsi="仿宋_GB2312" w:eastAsia="仿宋_GB2312" w:cs="仿宋_GB2312"/>
          <w:sz w:val="32"/>
          <w:szCs w:val="32"/>
        </w:rPr>
        <w:t>车辆滴洒漏</w:t>
      </w:r>
      <w:r>
        <w:rPr>
          <w:rFonts w:hint="eastAsia" w:ascii="仿宋_GB2312" w:hAnsi="仿宋_GB2312" w:eastAsia="仿宋_GB2312" w:cs="仿宋_GB2312"/>
          <w:sz w:val="32"/>
          <w:szCs w:val="32"/>
          <w:lang w:eastAsia="zh-CN"/>
        </w:rPr>
        <w:t>违法行为</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查处；市自然资源局甘州分局</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督促</w:t>
      </w:r>
      <w:r>
        <w:rPr>
          <w:rFonts w:hint="eastAsia" w:ascii="仿宋_GB2312" w:hAnsi="仿宋_GB2312" w:eastAsia="仿宋_GB2312" w:cs="仿宋_GB2312"/>
          <w:sz w:val="32"/>
          <w:szCs w:val="32"/>
          <w:lang w:val="en-US" w:eastAsia="zh-CN"/>
        </w:rPr>
        <w:t>砂石料开采和</w:t>
      </w:r>
      <w:r>
        <w:rPr>
          <w:rFonts w:hint="eastAsia" w:ascii="仿宋_GB2312" w:hAnsi="仿宋_GB2312" w:eastAsia="仿宋_GB2312" w:cs="仿宋_GB2312"/>
          <w:sz w:val="32"/>
          <w:szCs w:val="32"/>
        </w:rPr>
        <w:t>矿山企业落实作业扬尘污染防治措施</w:t>
      </w:r>
      <w:r>
        <w:rPr>
          <w:rFonts w:hint="eastAsia" w:ascii="仿宋_GB2312" w:hAnsi="仿宋_GB2312" w:eastAsia="仿宋_GB2312" w:cs="仿宋_GB2312"/>
          <w:sz w:val="32"/>
          <w:szCs w:val="32"/>
          <w:lang w:eastAsia="zh-CN"/>
        </w:rPr>
        <w:t>；区林草局</w:t>
      </w:r>
      <w:r>
        <w:rPr>
          <w:rFonts w:hint="eastAsia" w:ascii="仿宋_GB2312" w:hAnsi="仿宋_GB2312" w:eastAsia="仿宋_GB2312" w:cs="仿宋_GB2312"/>
          <w:sz w:val="32"/>
          <w:szCs w:val="32"/>
        </w:rPr>
        <w:t>负责督促指导</w:t>
      </w:r>
      <w:r>
        <w:rPr>
          <w:rFonts w:hint="eastAsia" w:ascii="仿宋_GB2312" w:hAnsi="仿宋_GB2312" w:eastAsia="仿宋_GB2312" w:cs="仿宋_GB2312"/>
          <w:sz w:val="32"/>
          <w:szCs w:val="32"/>
          <w:lang w:val="en-US" w:eastAsia="zh-CN"/>
        </w:rPr>
        <w:t>绿化造林</w:t>
      </w:r>
      <w:r>
        <w:rPr>
          <w:rFonts w:hint="eastAsia" w:ascii="仿宋_GB2312" w:hAnsi="仿宋_GB2312" w:eastAsia="仿宋_GB2312" w:cs="仿宋_GB2312"/>
          <w:sz w:val="32"/>
          <w:szCs w:val="32"/>
        </w:rPr>
        <w:t>项目业主制定并落实扬尘污染防治措施；区水务局负责制定并落实水利工程扬尘污染防治措施；区交通运输局负责督促指导公路工程项目业主制定并落实扬尘污染防治措施。</w:t>
      </w:r>
    </w:p>
    <w:p w14:paraId="4244F11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生活污染应对组。由区城市管理局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市公安局甘州分局、区农业农村局和各乡镇、街道等单位组成。市公安局甘州分局</w:t>
      </w:r>
      <w:r>
        <w:rPr>
          <w:rFonts w:hint="eastAsia" w:ascii="仿宋_GB2312" w:hAnsi="仿宋_GB2312" w:eastAsia="仿宋_GB2312" w:cs="仿宋_GB2312"/>
          <w:sz w:val="32"/>
          <w:szCs w:val="32"/>
          <w:lang w:eastAsia="zh-CN"/>
        </w:rPr>
        <w:t>会同各街道</w:t>
      </w:r>
      <w:r>
        <w:rPr>
          <w:rFonts w:hint="eastAsia" w:ascii="仿宋_GB2312" w:hAnsi="仿宋_GB2312" w:eastAsia="仿宋_GB2312" w:cs="仿宋_GB2312"/>
          <w:sz w:val="32"/>
          <w:szCs w:val="32"/>
          <w:lang w:val="en-US" w:eastAsia="zh-CN"/>
        </w:rPr>
        <w:t>、有关乡镇</w:t>
      </w:r>
      <w:r>
        <w:rPr>
          <w:rFonts w:hint="eastAsia" w:ascii="仿宋_GB2312" w:hAnsi="仿宋_GB2312" w:eastAsia="仿宋_GB2312" w:cs="仿宋_GB2312"/>
          <w:sz w:val="32"/>
          <w:szCs w:val="32"/>
        </w:rPr>
        <w:t>负责指导监督落实禁止燃放烟花爆竹等措施；区城市管理局负责对</w:t>
      </w:r>
      <w:r>
        <w:rPr>
          <w:rFonts w:hint="eastAsia" w:ascii="仿宋_GB2312" w:hAnsi="仿宋_GB2312" w:eastAsia="仿宋_GB2312" w:cs="仿宋_GB2312"/>
          <w:sz w:val="32"/>
          <w:szCs w:val="32"/>
          <w:lang w:val="en-US" w:eastAsia="zh-CN"/>
        </w:rPr>
        <w:t>城区</w:t>
      </w:r>
      <w:r>
        <w:rPr>
          <w:rFonts w:hint="eastAsia" w:ascii="仿宋_GB2312" w:hAnsi="仿宋_GB2312" w:eastAsia="仿宋_GB2312" w:cs="仿宋_GB2312"/>
          <w:sz w:val="32"/>
          <w:szCs w:val="32"/>
        </w:rPr>
        <w:t>焚烧垃圾等污染行为的执法检查；区</w:t>
      </w:r>
      <w:r>
        <w:rPr>
          <w:rFonts w:hint="eastAsia" w:ascii="仿宋_GB2312" w:hAnsi="仿宋_GB2312" w:eastAsia="仿宋_GB2312" w:cs="仿宋_GB2312"/>
          <w:sz w:val="32"/>
          <w:szCs w:val="32"/>
          <w:lang w:val="en-US" w:eastAsia="zh-CN"/>
        </w:rPr>
        <w:t>农业农村局</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乡镇根据各自职责督促检查</w:t>
      </w:r>
      <w:r>
        <w:rPr>
          <w:rFonts w:hint="eastAsia" w:ascii="仿宋_GB2312" w:hAnsi="仿宋_GB2312" w:eastAsia="仿宋_GB2312" w:cs="仿宋_GB2312"/>
          <w:sz w:val="32"/>
          <w:szCs w:val="32"/>
          <w:lang w:val="en-US" w:eastAsia="zh-CN"/>
        </w:rPr>
        <w:t>农村秸秆大捆、秸秆禁烧及综合利用工作；市公安局甘州分局依法查处因焚烧引发的治安违法行为；区应急管理局、区消防救援局、区商务局、区文体广电和旅游局、区市场监管局、市公安局甘州分局、各街道和有关乡镇对主管行业或辖区房屋、车辆、场所自燃或人为因素导致突发火情污染开展应急处置与溯源排查；各乡镇、街道落实属地管理责任，加强日常巡查与宣传教育，确保生活源污染防控措施落地见效。</w:t>
      </w:r>
    </w:p>
    <w:p w14:paraId="0CBE6C9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2.3.4</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宣传报道组。由区委宣传部牵头，市生态环境局甘州分局、区应急管理局、区气象局组成。负责组织协调新闻媒体做好重污染天气相关信息发布和舆论宣传工作。市生态环境局甘州分局负责将空气质量监测、污染趋势、应急处置等信息通报给区委宣传部、区工信局等部门，区气象局负责将未来48小时气象信息通报给区委宣传部。区委宣传部负责协调广播电视媒体，向市民通告污染水平，公布污染严重区域，发布未来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小时气象信息等。区工信局负责协调通讯运营企业向公众发布重污染天气应急信息，提醒公众采取健康防护措施，开展建议性减排措施的宣传。</w:t>
      </w:r>
    </w:p>
    <w:p w14:paraId="28914ECE">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气象干预组。区气象局负责指导相关部门适时开展人工影响天气作业。</w:t>
      </w:r>
    </w:p>
    <w:p w14:paraId="18C74B9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2.3.6</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后勤保障组。由区</w:t>
      </w:r>
      <w:r>
        <w:rPr>
          <w:rFonts w:hint="eastAsia" w:ascii="仿宋_GB2312" w:hAnsi="仿宋_GB2312" w:eastAsia="仿宋_GB2312" w:cs="仿宋_GB2312"/>
          <w:sz w:val="32"/>
          <w:szCs w:val="32"/>
          <w:lang w:val="en-US" w:eastAsia="zh-CN"/>
        </w:rPr>
        <w:t>工信</w:t>
      </w:r>
      <w:r>
        <w:rPr>
          <w:rFonts w:hint="eastAsia" w:ascii="仿宋_GB2312" w:hAnsi="仿宋_GB2312" w:eastAsia="仿宋_GB2312" w:cs="仿宋_GB2312"/>
          <w:sz w:val="32"/>
          <w:szCs w:val="32"/>
        </w:rPr>
        <w:t>局牵头，市生态环境局甘州分局、区财政局等部门组成。负责</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培训、演练</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应急响应期间所需的应急资金、物资、设备、通信</w:t>
      </w:r>
      <w:r>
        <w:rPr>
          <w:rFonts w:hint="eastAsia" w:ascii="仿宋_GB2312" w:hAnsi="仿宋_GB2312" w:eastAsia="仿宋_GB2312" w:cs="仿宋_GB2312"/>
          <w:sz w:val="32"/>
          <w:szCs w:val="32"/>
          <w:lang w:eastAsia="zh-CN"/>
        </w:rPr>
        <w:t>保障</w:t>
      </w:r>
      <w:r>
        <w:rPr>
          <w:rFonts w:hint="eastAsia" w:ascii="仿宋_GB2312" w:hAnsi="仿宋_GB2312" w:eastAsia="仿宋_GB2312" w:cs="仿宋_GB2312"/>
          <w:sz w:val="32"/>
          <w:szCs w:val="32"/>
        </w:rPr>
        <w:t>和调配。</w:t>
      </w:r>
    </w:p>
    <w:p w14:paraId="12810F9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2.3.7</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专家组。区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办公室组织有关</w:t>
      </w:r>
      <w:r>
        <w:rPr>
          <w:rFonts w:hint="eastAsia" w:ascii="仿宋_GB2312" w:hAnsi="仿宋_GB2312" w:eastAsia="仿宋_GB2312" w:cs="仿宋_GB2312"/>
          <w:sz w:val="32"/>
          <w:szCs w:val="32"/>
          <w:lang w:val="en-US" w:eastAsia="zh-CN"/>
        </w:rPr>
        <w:t>大气</w:t>
      </w:r>
      <w:r>
        <w:rPr>
          <w:rFonts w:hint="eastAsia" w:ascii="仿宋_GB2312" w:hAnsi="仿宋_GB2312" w:eastAsia="仿宋_GB2312" w:cs="仿宋_GB2312"/>
          <w:sz w:val="32"/>
          <w:szCs w:val="32"/>
        </w:rPr>
        <w:t>污染</w:t>
      </w:r>
      <w:r>
        <w:rPr>
          <w:rFonts w:hint="eastAsia" w:ascii="仿宋_GB2312" w:hAnsi="仿宋_GB2312" w:eastAsia="仿宋_GB2312" w:cs="仿宋_GB2312"/>
          <w:sz w:val="32"/>
          <w:szCs w:val="32"/>
          <w:lang w:val="en-US" w:eastAsia="zh-CN"/>
        </w:rPr>
        <w:t>防治</w:t>
      </w:r>
      <w:r>
        <w:rPr>
          <w:rFonts w:hint="eastAsia" w:ascii="仿宋_GB2312" w:hAnsi="仿宋_GB2312" w:eastAsia="仿宋_GB2312" w:cs="仿宋_GB2312"/>
          <w:sz w:val="32"/>
          <w:szCs w:val="32"/>
        </w:rPr>
        <w:t>、监测、气象预测等方面的</w:t>
      </w:r>
      <w:r>
        <w:rPr>
          <w:rFonts w:hint="eastAsia" w:ascii="仿宋_GB2312" w:hAnsi="仿宋_GB2312" w:eastAsia="仿宋_GB2312" w:cs="仿宋_GB2312"/>
          <w:sz w:val="32"/>
          <w:szCs w:val="32"/>
          <w:lang w:eastAsia="zh-CN"/>
        </w:rPr>
        <w:t>专家</w:t>
      </w:r>
      <w:r>
        <w:rPr>
          <w:rFonts w:hint="eastAsia" w:ascii="仿宋_GB2312" w:hAnsi="仿宋_GB2312" w:eastAsia="仿宋_GB2312" w:cs="仿宋_GB2312"/>
          <w:sz w:val="32"/>
          <w:szCs w:val="32"/>
        </w:rPr>
        <w:t>，参与重污染天气监测、会商、预警、响应及总结评估等工作，针对重污染天气应急涉及的关键问题提出对策和建议，为重污染天气应对工作提供技术指导。</w:t>
      </w:r>
    </w:p>
    <w:p w14:paraId="66B12AB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2.3.8</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监督检查组。由</w:t>
      </w:r>
      <w:r>
        <w:rPr>
          <w:rFonts w:hint="eastAsia" w:ascii="仿宋_GB2312" w:hAnsi="仿宋_GB2312" w:eastAsia="仿宋_GB2312" w:cs="仿宋_GB2312"/>
          <w:sz w:val="32"/>
          <w:szCs w:val="32"/>
          <w:lang w:eastAsia="zh-CN"/>
        </w:rPr>
        <w:t>区重污染天气应急指挥部办公室</w:t>
      </w:r>
      <w:r>
        <w:rPr>
          <w:rFonts w:hint="eastAsia" w:ascii="仿宋_GB2312" w:hAnsi="仿宋_GB2312" w:eastAsia="仿宋_GB2312" w:cs="仿宋_GB2312"/>
          <w:sz w:val="32"/>
          <w:szCs w:val="32"/>
        </w:rPr>
        <w:t>组织市公安局甘州分局、市生态环境局甘州分局、市自然资源局甘州分局、区发展改革局、区工信局、区住建局、区交通运输局、区教育局等部门对企事业单位应对重污染天气过程中的污染减排措施落实情况进行督促、检查，并对履职不到位的</w:t>
      </w:r>
      <w:r>
        <w:rPr>
          <w:rFonts w:hint="eastAsia" w:ascii="仿宋_GB2312" w:hAnsi="仿宋_GB2312" w:eastAsia="仿宋_GB2312" w:cs="仿宋_GB2312"/>
          <w:sz w:val="32"/>
          <w:szCs w:val="32"/>
          <w:lang w:eastAsia="zh-CN"/>
        </w:rPr>
        <w:t>单位提出</w:t>
      </w:r>
      <w:r>
        <w:rPr>
          <w:rFonts w:hint="eastAsia" w:ascii="仿宋_GB2312" w:hAnsi="仿宋_GB2312" w:eastAsia="仿宋_GB2312" w:cs="仿宋_GB2312"/>
          <w:sz w:val="32"/>
          <w:szCs w:val="32"/>
        </w:rPr>
        <w:t>整改意见。</w:t>
      </w:r>
    </w:p>
    <w:p w14:paraId="58185C4C">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2.4 有关部门职责</w:t>
      </w:r>
    </w:p>
    <w:p w14:paraId="3282DD6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（1）区委宣传部：负责全区重污染天气应对的宣传报道和舆情引导工作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配合做好预警信息发布</w:t>
      </w:r>
      <w:r>
        <w:rPr>
          <w:rFonts w:hint="eastAsia" w:ascii="仿宋_GB2312" w:hAnsi="仿宋_GB2312" w:eastAsia="仿宋_GB2312" w:cs="仿宋_GB2312"/>
          <w:sz w:val="32"/>
          <w:szCs w:val="32"/>
          <w:lang w:eastAsia="zh-CN"/>
        </w:rPr>
        <w:t>。</w:t>
      </w:r>
    </w:p>
    <w:p w14:paraId="0D444BC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（2）区城市管理局：加</w:t>
      </w:r>
      <w:r>
        <w:rPr>
          <w:rFonts w:hint="eastAsia" w:ascii="仿宋_GB2312" w:hAnsi="仿宋_GB2312" w:eastAsia="仿宋_GB2312" w:cs="仿宋_GB2312"/>
          <w:sz w:val="32"/>
          <w:szCs w:val="32"/>
          <w:lang w:eastAsia="zh-CN"/>
        </w:rPr>
        <w:t>强对</w:t>
      </w:r>
      <w:r>
        <w:rPr>
          <w:rFonts w:hint="eastAsia" w:ascii="仿宋_GB2312" w:hAnsi="仿宋_GB2312" w:eastAsia="仿宋_GB2312" w:cs="仿宋_GB2312"/>
          <w:sz w:val="32"/>
          <w:szCs w:val="32"/>
        </w:rPr>
        <w:t>道路遗撒、露天焚烧、露天烧烤等污染源执法检查；</w:t>
      </w:r>
      <w:r>
        <w:rPr>
          <w:rFonts w:hint="eastAsia" w:ascii="仿宋_GB2312" w:hAnsi="仿宋_GB2312" w:eastAsia="仿宋_GB2312" w:cs="仿宋_GB2312"/>
          <w:sz w:val="32"/>
          <w:szCs w:val="32"/>
          <w:lang w:val="en-US" w:eastAsia="zh-CN"/>
        </w:rPr>
        <w:t>联合有关</w:t>
      </w:r>
      <w:r>
        <w:rPr>
          <w:rFonts w:hint="eastAsia" w:ascii="仿宋_GB2312" w:hAnsi="仿宋_GB2312" w:eastAsia="仿宋_GB2312" w:cs="仿宋_GB2312"/>
          <w:sz w:val="32"/>
          <w:szCs w:val="32"/>
        </w:rPr>
        <w:t>部门对渣土车、砂石车等易扬尘车辆停运情况</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绿化带裸露处扬尘防治措施进行检查，并督促落实。</w:t>
      </w:r>
    </w:p>
    <w:p w14:paraId="6116151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（3）市公安局甘州分局：查处机动车行驶过程中排放黑烟等明显可视大气污染物的行为；根据不同预警等级，针对不同车辆采取交通管制措施，实行区域限行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限制大型集会、禁止燃放烟花爆竹等应急工作。</w:t>
      </w:r>
    </w:p>
    <w:p w14:paraId="14F4EA1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（4）市生态环境局甘州分局：承担区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职能；牵头制（修）订《甘州区重污染天气应急预案》；会同气象部门加强空气质量监测、分析和预报，及时发布监测预报预警信息；组织对重点排污企业污染物减排情况、落实重污染天气应急预案情况进行执法检查；联合相关部门加强大气污染控制和应急减排措施的落实。</w:t>
      </w:r>
    </w:p>
    <w:p w14:paraId="4532A78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（5）市自然资源局甘州分局：负责制定并监督落实重污染天气预警时所有矿山停止露天作业的</w:t>
      </w:r>
      <w:r>
        <w:rPr>
          <w:rFonts w:hint="eastAsia" w:ascii="仿宋_GB2312" w:hAnsi="仿宋_GB2312" w:eastAsia="仿宋_GB2312" w:cs="仿宋_GB2312"/>
          <w:sz w:val="32"/>
          <w:szCs w:val="32"/>
          <w:lang w:eastAsia="zh-CN"/>
        </w:rPr>
        <w:t>措施</w:t>
      </w:r>
      <w:r>
        <w:rPr>
          <w:rFonts w:hint="eastAsia" w:ascii="仿宋_GB2312" w:hAnsi="仿宋_GB2312" w:eastAsia="仿宋_GB2312" w:cs="仿宋_GB2312"/>
          <w:sz w:val="32"/>
          <w:szCs w:val="32"/>
        </w:rPr>
        <w:t>。</w:t>
      </w:r>
    </w:p>
    <w:p w14:paraId="721F9F9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（6）区财政局：负责区级重污染天气应急工作经费保障，配合相关主管部门做好经费使用的监督检查工作。</w:t>
      </w:r>
    </w:p>
    <w:p w14:paraId="5BE79EA4">
      <w:pPr>
        <w:keepNext w:val="0"/>
        <w:keepLines w:val="0"/>
        <w:pageBreakBefore w:val="0"/>
        <w:widowControl/>
        <w:suppressLineNumbers w:val="0"/>
        <w:wordWrap/>
        <w:overflowPunct/>
        <w:topLinePunct w:val="0"/>
        <w:bidi w:val="0"/>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（7）区发展改革局：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负责协调重污染天气应急状态下的能源保障调度工作，加强与上级主管部门的对接协调；</w:t>
      </w:r>
      <w:r>
        <w:rPr>
          <w:rFonts w:ascii="仿宋_GB2312" w:hAnsi="宋体" w:eastAsia="仿宋_GB2312" w:cs="仿宋_GB2312"/>
          <w:color w:val="000000" w:themeColor="text1"/>
          <w:kern w:val="0"/>
          <w:sz w:val="31"/>
          <w:szCs w:val="31"/>
          <w:lang w:val="en-US" w:eastAsia="zh-CN" w:bidi="ar"/>
          <w14:textFill>
            <w14:solidFill>
              <w14:schemeClr w14:val="tx1"/>
            </w14:solidFill>
          </w14:textFill>
        </w:rPr>
        <w:t>对重污染天气应急响应期间的</w:t>
      </w:r>
      <w:r>
        <w:rPr>
          <w:rFonts w:hint="eastAsia" w:ascii="仿宋_GB2312" w:hAnsi="宋体" w:eastAsia="仿宋_GB2312" w:cs="仿宋_GB2312"/>
          <w:color w:val="000000" w:themeColor="text1"/>
          <w:kern w:val="0"/>
          <w:sz w:val="31"/>
          <w:szCs w:val="31"/>
          <w:lang w:val="en-US" w:eastAsia="zh-CN" w:bidi="ar"/>
          <w14:textFill>
            <w14:solidFill>
              <w14:schemeClr w14:val="tx1"/>
            </w14:solidFill>
          </w14:textFill>
        </w:rPr>
        <w:t>减排措施落实情况进行监督、检查。</w:t>
      </w:r>
    </w:p>
    <w:p w14:paraId="0FAD41F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区工信局：制定重污染天气预警期间保障民生和城市正常运行的工业企业名单，会同市生态环境局甘州分局定期修订《重污染天气应急预案减排措施工业源项目清单》，并组织制定“一厂一策”应急预案。根据不同预警等级，依据工业企业停限产名单，按级别实施关停或限产。协调电力、通信应急保障工作。</w:t>
      </w:r>
    </w:p>
    <w:p w14:paraId="5B04867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（9）区应急管理局：负责指导做好矿山、危险化学品、烟花爆竹、金属冶炼企业限产停产的安全生产工作。协调指导重污染天气期间安全生产类、自然灾害类等突发事件应急救援工作。</w:t>
      </w:r>
    </w:p>
    <w:p w14:paraId="32750BF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p>
    <w:p w14:paraId="0CBDDF4B">
      <w:pPr>
        <w:keepNext w:val="0"/>
        <w:keepLines w:val="0"/>
        <w:pageBreakBefore w:val="0"/>
        <w:widowControl/>
        <w:suppressLineNumbers w:val="0"/>
        <w:wordWrap/>
        <w:overflowPunct/>
        <w:topLinePunct w:val="0"/>
        <w:bidi w:val="0"/>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区水务局</w:t>
      </w:r>
      <w:r>
        <w:rPr>
          <w:rFonts w:hint="eastAsia" w:ascii="仿宋_GB2312" w:hAnsi="仿宋_GB2312" w:eastAsia="仿宋_GB2312" w:cs="仿宋_GB2312"/>
          <w:color w:val="000000" w:themeColor="text1"/>
          <w:sz w:val="32"/>
          <w:szCs w:val="32"/>
          <w14:textFill>
            <w14:solidFill>
              <w14:schemeClr w14:val="tx1"/>
            </w14:solidFill>
          </w14:textFill>
        </w:rPr>
        <w:t>：负责向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群众</w:t>
      </w:r>
      <w:r>
        <w:rPr>
          <w:rFonts w:hint="eastAsia" w:ascii="仿宋_GB2312" w:hAnsi="仿宋_GB2312" w:eastAsia="仿宋_GB2312" w:cs="仿宋_GB2312"/>
          <w:color w:val="000000" w:themeColor="text1"/>
          <w:sz w:val="32"/>
          <w:szCs w:val="32"/>
          <w14:textFill>
            <w14:solidFill>
              <w14:schemeClr w14:val="tx1"/>
            </w14:solidFill>
          </w14:textFill>
        </w:rPr>
        <w:t>和管理对象发布本行业、本领域落实重污染天气应急响应的相关信息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防范污染叠加风险。开展</w:t>
      </w:r>
      <w:r>
        <w:rPr>
          <w:rFonts w:hint="eastAsia" w:ascii="仿宋_GB2312" w:hAnsi="仿宋_GB2312" w:eastAsia="仿宋_GB2312" w:cs="仿宋_GB2312"/>
          <w:color w:val="000000" w:themeColor="text1"/>
          <w:sz w:val="32"/>
          <w:szCs w:val="32"/>
          <w14:textFill>
            <w14:solidFill>
              <w14:schemeClr w14:val="tx1"/>
            </w14:solidFill>
          </w14:textFill>
        </w:rPr>
        <w:t>重污染天气应急响应期间本部门相关工作的现场核查，并完成市应急指挥部交办的其他事项。</w:t>
      </w:r>
    </w:p>
    <w:p w14:paraId="7521CACB">
      <w:pPr>
        <w:keepNext w:val="0"/>
        <w:keepLines w:val="0"/>
        <w:pageBreakBefore w:val="0"/>
        <w:widowControl/>
        <w:suppressLineNumbers w:val="0"/>
        <w:wordWrap/>
        <w:overflowPunct/>
        <w:topLinePunct w:val="0"/>
        <w:bidi w:val="0"/>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区林草局</w:t>
      </w:r>
      <w:r>
        <w:rPr>
          <w:rFonts w:hint="eastAsia" w:ascii="仿宋_GB2312" w:hAnsi="仿宋_GB2312" w:eastAsia="仿宋_GB2312" w:cs="仿宋_GB2312"/>
          <w:color w:val="000000" w:themeColor="text1"/>
          <w:sz w:val="32"/>
          <w:szCs w:val="32"/>
          <w14:textFill>
            <w14:solidFill>
              <w14:schemeClr w14:val="tx1"/>
            </w14:solidFill>
          </w14:textFill>
        </w:rPr>
        <w:t>：在重污染天气应急响应期间，重点督导绿化造林工程落实分级管控、停工抑尘措施，常态化开展林区露天焚烧巡查整治，严控沙化裸地扬尘源，严格落实应急值班及联防联控工作，全力压降林草领域大气污染增量。</w:t>
      </w:r>
    </w:p>
    <w:p w14:paraId="1CA5D66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）区教育局：根据不同预警等级，指导全区中小学、幼儿园及同等学历</w:t>
      </w:r>
      <w:r>
        <w:rPr>
          <w:rFonts w:hint="eastAsia" w:ascii="仿宋_GB2312" w:hAnsi="仿宋_GB2312" w:eastAsia="仿宋_GB2312" w:cs="仿宋_GB2312"/>
          <w:color w:val="000000" w:themeColor="text1"/>
          <w:sz w:val="32"/>
          <w:szCs w:val="32"/>
          <w:lang w:eastAsia="zh-CN"/>
          <w14:textFill>
            <w14:solidFill>
              <w14:schemeClr w14:val="tx1"/>
            </w14:solidFill>
          </w14:textFill>
        </w:rPr>
        <w:t>教育机构</w:t>
      </w:r>
      <w:r>
        <w:rPr>
          <w:rFonts w:hint="eastAsia" w:ascii="仿宋_GB2312" w:hAnsi="仿宋_GB2312" w:eastAsia="仿宋_GB2312" w:cs="仿宋_GB2312"/>
          <w:color w:val="000000" w:themeColor="text1"/>
          <w:sz w:val="32"/>
          <w:szCs w:val="32"/>
          <w14:textFill>
            <w14:solidFill>
              <w14:schemeClr w14:val="tx1"/>
            </w14:solidFill>
          </w14:textFill>
        </w:rPr>
        <w:t>减少或停止户外活动，采取弹性教学或停课等防护措施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及时汇总各区县、开发区学校停课等措施落实情况；开展重污染天气应急相关科普教育和志愿服务活动，培养学生的重污染天气应急意识。 </w:t>
      </w:r>
    </w:p>
    <w:p w14:paraId="7A3B35F1">
      <w:pPr>
        <w:keepNext w:val="0"/>
        <w:keepLines w:val="0"/>
        <w:pageBreakBefore w:val="0"/>
        <w:widowControl/>
        <w:suppressLineNumbers w:val="0"/>
        <w:wordWrap/>
        <w:overflowPunct/>
        <w:topLinePunct w:val="0"/>
        <w:bidi w:val="0"/>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）区卫生健康局：</w:t>
      </w:r>
      <w:r>
        <w:rPr>
          <w:rFonts w:ascii="仿宋_GB2312" w:hAnsi="宋体" w:eastAsia="仿宋_GB2312" w:cs="仿宋_GB2312"/>
          <w:color w:val="000000" w:themeColor="text1"/>
          <w:kern w:val="0"/>
          <w:sz w:val="31"/>
          <w:szCs w:val="31"/>
          <w:lang w:val="en-US" w:eastAsia="zh-CN" w:bidi="ar"/>
          <w14:textFill>
            <w14:solidFill>
              <w14:schemeClr w14:val="tx1"/>
            </w14:solidFill>
          </w14:textFill>
        </w:rPr>
        <w:t>向市民和管理对象发布预警相关信息</w:t>
      </w:r>
      <w:r>
        <w:rPr>
          <w:rFonts w:hint="eastAsia" w:ascii="仿宋_GB2312" w:hAnsi="宋体" w:eastAsia="仿宋_GB2312" w:cs="仿宋_GB2312"/>
          <w:color w:val="000000" w:themeColor="text1"/>
          <w:kern w:val="0"/>
          <w:sz w:val="31"/>
          <w:szCs w:val="31"/>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负责重污染天气导致的突发事件紧急医学救援与救治工作，组织开展大气污染导致的疾病预防知识宣传，科学指导公众提高防护能力。督促各医疗机构制定重污染天气应急诊疗方案，加强相关疾病门（急）诊力量。</w:t>
      </w:r>
    </w:p>
    <w:p w14:paraId="15501E80">
      <w:pPr>
        <w:keepNext w:val="0"/>
        <w:keepLines w:val="0"/>
        <w:pageBreakBefore w:val="0"/>
        <w:widowControl/>
        <w:suppressLineNumbers w:val="0"/>
        <w:wordWrap/>
        <w:overflowPunct/>
        <w:topLinePunct w:val="0"/>
        <w:bidi w:val="0"/>
        <w:spacing w:line="560" w:lineRule="exact"/>
        <w:ind w:firstLine="640" w:firstLineChars="200"/>
        <w:jc w:val="lef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）区农业农村局：根据不同预警等级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督导各乡镇和有关街道加强农业生产造成的大气污染防治</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配合</w:t>
      </w:r>
      <w:r>
        <w:rPr>
          <w:rFonts w:hint="eastAsia" w:ascii="仿宋_GB2312" w:hAnsi="仿宋_GB2312" w:eastAsia="仿宋_GB2312" w:cs="仿宋_GB2312"/>
          <w:color w:val="000000" w:themeColor="text1"/>
          <w:sz w:val="32"/>
          <w:szCs w:val="32"/>
          <w14:textFill>
            <w14:solidFill>
              <w14:schemeClr w14:val="tx1"/>
            </w14:solidFill>
          </w14:textFill>
        </w:rPr>
        <w:t>市生态环境局甘州分局做好秸秆禁烧工作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加强对所属土地整治项目涉及地块扬尘污染防治的监督。</w:t>
      </w:r>
    </w:p>
    <w:p w14:paraId="72A5CFC5">
      <w:pPr>
        <w:keepNext w:val="0"/>
        <w:keepLines w:val="0"/>
        <w:pageBreakBefore w:val="0"/>
        <w:widowControl/>
        <w:suppressLineNumbers w:val="0"/>
        <w:wordWrap/>
        <w:overflowPunct/>
        <w:topLinePunct w:val="0"/>
        <w:bidi w:val="0"/>
        <w:spacing w:line="560" w:lineRule="exact"/>
        <w:ind w:firstLine="640" w:firstLineChars="200"/>
        <w:jc w:val="lef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）区交通运输局：负责重污染天气所管辖的道路扬尘控制，做好响应期间的公共交通运力保障；负责交通建设工地扬尘控制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督导汽修行业企业落实重污染天气应急响应措施。</w:t>
      </w:r>
    </w:p>
    <w:p w14:paraId="4D3F5D3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区住建局：组织供热管理部门实施供热企业错时错峰起炉，制定“一厂一策”应急操作方案；会同市生态环境局甘州分局定期修订《重污染天气应急预案减排措施扬尘源项目清单》。根据不同预警等级，组织落实供热企业、建筑工地</w:t>
      </w:r>
      <w:r>
        <w:rPr>
          <w:rFonts w:hint="eastAsia" w:ascii="仿宋_GB2312" w:hAnsi="仿宋_GB2312" w:eastAsia="仿宋_GB2312" w:cs="仿宋_GB2312"/>
          <w:sz w:val="32"/>
          <w:szCs w:val="32"/>
          <w:lang w:val="en-US" w:eastAsia="zh-CN"/>
        </w:rPr>
        <w:t>施工及</w:t>
      </w:r>
      <w:r>
        <w:rPr>
          <w:rFonts w:hint="eastAsia" w:ascii="仿宋_GB2312" w:hAnsi="仿宋_GB2312" w:eastAsia="仿宋_GB2312" w:cs="仿宋_GB2312"/>
          <w:sz w:val="32"/>
          <w:szCs w:val="32"/>
        </w:rPr>
        <w:t>建筑工地出入口硬铺装扬尘控制措施</w:t>
      </w:r>
      <w:r>
        <w:rPr>
          <w:rFonts w:hint="eastAsia" w:ascii="仿宋_GB2312" w:hAnsi="仿宋_GB2312" w:eastAsia="仿宋_GB2312" w:cs="仿宋_GB2312"/>
          <w:sz w:val="32"/>
          <w:szCs w:val="32"/>
          <w:lang w:eastAsia="zh-CN"/>
        </w:rPr>
        <w:t>，并进行</w:t>
      </w:r>
      <w:r>
        <w:rPr>
          <w:rFonts w:hint="eastAsia" w:ascii="仿宋_GB2312" w:hAnsi="仿宋_GB2312" w:eastAsia="仿宋_GB2312" w:cs="仿宋_GB2312"/>
          <w:sz w:val="32"/>
          <w:szCs w:val="32"/>
          <w:lang w:val="en-US" w:eastAsia="zh-CN"/>
        </w:rPr>
        <w:t>执法检查</w:t>
      </w:r>
      <w:r>
        <w:rPr>
          <w:rFonts w:hint="eastAsia" w:ascii="仿宋_GB2312" w:hAnsi="仿宋_GB2312" w:eastAsia="仿宋_GB2312" w:cs="仿宋_GB2312"/>
          <w:sz w:val="32"/>
          <w:szCs w:val="32"/>
        </w:rPr>
        <w:t>；组织落实停止建筑拆除、土石方等施工作业；组织落实工地建筑垃圾、渣土、砂石运输等重型车辆禁止上路行驶的措施。</w:t>
      </w:r>
    </w:p>
    <w:p w14:paraId="271EBDE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）区市场监管局：负责对商品煤、</w:t>
      </w:r>
      <w:r>
        <w:rPr>
          <w:rFonts w:hint="eastAsia" w:ascii="仿宋_GB2312" w:hAnsi="仿宋_GB2312" w:eastAsia="仿宋_GB2312" w:cs="仿宋_GB2312"/>
          <w:sz w:val="32"/>
          <w:szCs w:val="32"/>
          <w:lang w:val="en-US" w:eastAsia="zh-CN"/>
        </w:rPr>
        <w:t>经营性燃煤及</w:t>
      </w:r>
      <w:r>
        <w:rPr>
          <w:rFonts w:hint="eastAsia" w:ascii="仿宋_GB2312" w:hAnsi="仿宋_GB2312" w:eastAsia="仿宋_GB2312" w:cs="仿宋_GB2312"/>
          <w:sz w:val="32"/>
          <w:szCs w:val="32"/>
        </w:rPr>
        <w:t>车用成品油的生产、加工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销售</w:t>
      </w:r>
      <w:r>
        <w:rPr>
          <w:rFonts w:hint="eastAsia" w:ascii="仿宋_GB2312" w:hAnsi="仿宋_GB2312" w:eastAsia="仿宋_GB2312" w:cs="仿宋_GB2312"/>
          <w:sz w:val="32"/>
          <w:szCs w:val="32"/>
          <w:lang w:val="en-US" w:eastAsia="zh-CN"/>
        </w:rPr>
        <w:t>环节</w:t>
      </w:r>
      <w:r>
        <w:rPr>
          <w:rFonts w:hint="eastAsia" w:ascii="仿宋_GB2312" w:hAnsi="仿宋_GB2312" w:eastAsia="仿宋_GB2312" w:cs="仿宋_GB2312"/>
          <w:sz w:val="32"/>
          <w:szCs w:val="32"/>
        </w:rPr>
        <w:t>实施监督管理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严格</w:t>
      </w:r>
      <w:r>
        <w:rPr>
          <w:rFonts w:hint="eastAsia" w:ascii="仿宋_GB2312" w:hAnsi="仿宋_GB2312" w:eastAsia="仿宋_GB2312" w:cs="仿宋_GB2312"/>
          <w:sz w:val="32"/>
          <w:szCs w:val="32"/>
        </w:rPr>
        <w:t>查</w:t>
      </w:r>
      <w:r>
        <w:rPr>
          <w:rFonts w:hint="eastAsia" w:ascii="仿宋_GB2312" w:hAnsi="仿宋_GB2312" w:eastAsia="仿宋_GB2312" w:cs="仿宋_GB2312"/>
          <w:sz w:val="32"/>
          <w:szCs w:val="32"/>
          <w:lang w:val="en-US" w:eastAsia="zh-CN"/>
        </w:rPr>
        <w:t>处</w:t>
      </w:r>
      <w:r>
        <w:rPr>
          <w:rFonts w:hint="eastAsia" w:ascii="仿宋_GB2312" w:hAnsi="仿宋_GB2312" w:eastAsia="仿宋_GB2312" w:cs="仿宋_GB2312"/>
          <w:sz w:val="32"/>
          <w:szCs w:val="32"/>
        </w:rPr>
        <w:t>生产、加工、销售不符合国家规定质量标准的商品煤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rPr>
        <w:t>不符合国家现行阶段标准的车用成品油</w:t>
      </w:r>
      <w:r>
        <w:rPr>
          <w:rFonts w:hint="eastAsia" w:ascii="仿宋_GB2312" w:hAnsi="仿宋_GB2312" w:eastAsia="仿宋_GB2312" w:cs="仿宋_GB2312"/>
          <w:sz w:val="32"/>
          <w:szCs w:val="32"/>
          <w:lang w:val="en-US" w:eastAsia="zh-CN"/>
        </w:rPr>
        <w:t>等违法</w:t>
      </w:r>
      <w:r>
        <w:rPr>
          <w:rFonts w:hint="eastAsia" w:ascii="仿宋_GB2312" w:hAnsi="仿宋_GB2312" w:eastAsia="仿宋_GB2312" w:cs="仿宋_GB2312"/>
          <w:sz w:val="32"/>
          <w:szCs w:val="32"/>
        </w:rPr>
        <w:t>行为。</w:t>
      </w:r>
    </w:p>
    <w:p w14:paraId="11DA128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）区气象局：负责向公众发布气象预报，并根据天气变化情况及时补充或修正；向区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办公室及相关成员单位提供气象监测预报信息；会同市生态环境局甘州分局开展重污染天气过程会商、分析、预报；预警期间，条件允许时，实施人工影响天气作业。</w:t>
      </w:r>
    </w:p>
    <w:p w14:paraId="5AB5B48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）区消防救援</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：负责快速处置各类火灾火情，减少烟气排放；处置危化品泄漏等次生大气污染事故；落实重污染天气全天候值班备勤，配合部门开展禁烧隐患排查与应急联防工作。</w:t>
      </w:r>
    </w:p>
    <w:p w14:paraId="46FF45AC">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）各乡镇、街道：负责本辖区内重污染天气应急管理工作，具体落实应急响应措施；加大辖区内重污染天气宣传教育力度，引导公众积极参与重污染天气应急应对工作；完成区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交办的其他事项。</w:t>
      </w:r>
    </w:p>
    <w:p w14:paraId="514D3DD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企事业单位：排放大气污染物的企事业单位应加强大气污染防治设施的管理和维护，自觉采取有效措施，努力减少大气污染物排放。列入应急减排项目清单的企业，应制定相应的应急方案后上报市生态环境局甘州分局、区工信局等部门备案，在应急响应启动时，按照</w:t>
      </w:r>
      <w:r>
        <w:rPr>
          <w:rFonts w:hint="eastAsia" w:ascii="仿宋_GB2312" w:hAnsi="仿宋_GB2312" w:eastAsia="仿宋_GB2312" w:cs="仿宋_GB2312"/>
          <w:sz w:val="32"/>
          <w:szCs w:val="32"/>
          <w:lang w:eastAsia="zh-CN"/>
        </w:rPr>
        <w:t>区重污染天气应急指挥部</w:t>
      </w:r>
      <w:r>
        <w:rPr>
          <w:rFonts w:hint="eastAsia" w:ascii="仿宋_GB2312" w:hAnsi="仿宋_GB2312" w:eastAsia="仿宋_GB2312" w:cs="仿宋_GB2312"/>
          <w:sz w:val="32"/>
          <w:szCs w:val="32"/>
        </w:rPr>
        <w:t>要求，采取减排、限排、提高大气污染物处理效率等应急措施。</w:t>
      </w:r>
    </w:p>
    <w:p w14:paraId="734D5C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3.预警</w:t>
      </w:r>
    </w:p>
    <w:p w14:paraId="0A2D103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3.1 预警分级</w:t>
      </w:r>
    </w:p>
    <w:p w14:paraId="535DE956">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重污染天气预警以空气质量指数（AQI）日均值为指标，分为三级，由低到高依次为：Ⅲ级、Ⅱ级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Ⅰ级，分别用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黄色、</w:t>
      </w:r>
      <w:r>
        <w:rPr>
          <w:rFonts w:hint="eastAsia" w:ascii="仿宋_GB2312" w:hAnsi="仿宋_GB2312" w:eastAsia="仿宋_GB2312" w:cs="仿宋_GB2312"/>
          <w:color w:val="000000" w:themeColor="text1"/>
          <w:sz w:val="32"/>
          <w:szCs w:val="32"/>
          <w14:textFill>
            <w14:solidFill>
              <w14:schemeClr w14:val="tx1"/>
            </w14:solidFill>
          </w14:textFill>
        </w:rPr>
        <w:t>橙色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红色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表示</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根据污染发展情况，预警可以升级、降级或解除。</w:t>
      </w:r>
    </w:p>
    <w:p w14:paraId="112018E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黄色预警。</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预测</w:t>
      </w:r>
      <w:r>
        <w:rPr>
          <w:rFonts w:hint="eastAsia"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rPr>
        <w:t>AQI&gt;200</w:t>
      </w:r>
      <w:r>
        <w:rPr>
          <w:rFonts w:hint="eastAsia" w:ascii="仿宋_GB2312" w:hAnsi="仿宋_GB2312" w:eastAsia="仿宋_GB2312" w:cs="仿宋_GB2312"/>
          <w:sz w:val="32"/>
          <w:szCs w:val="32"/>
          <w:lang w:val="en-US" w:eastAsia="zh-CN"/>
        </w:rPr>
        <w:t>或日</w:t>
      </w:r>
      <w:r>
        <w:rPr>
          <w:rFonts w:hint="eastAsia" w:ascii="仿宋_GB2312" w:hAnsi="仿宋_GB2312" w:eastAsia="仿宋_GB2312" w:cs="仿宋_GB2312"/>
          <w:sz w:val="32"/>
          <w:szCs w:val="32"/>
        </w:rPr>
        <w:t>AQI&gt;</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rPr>
        <w:t>持续两天（48小时）及以上，且短时出现重度污染、未达到高级别预警条件。</w:t>
      </w:r>
    </w:p>
    <w:p w14:paraId="1AEF6FE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橙色预警。预测</w:t>
      </w:r>
      <w:r>
        <w:rPr>
          <w:rFonts w:hint="eastAsia"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rPr>
        <w:t>AQI&gt;200将持续</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天（</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小时）</w:t>
      </w:r>
      <w:r>
        <w:rPr>
          <w:rFonts w:hint="eastAsia" w:ascii="仿宋_GB2312" w:hAnsi="仿宋_GB2312" w:eastAsia="仿宋_GB2312" w:cs="仿宋_GB2312"/>
          <w:sz w:val="32"/>
          <w:szCs w:val="32"/>
          <w:lang w:val="en-US" w:eastAsia="zh-CN"/>
        </w:rPr>
        <w:t>或日</w:t>
      </w:r>
      <w:r>
        <w:rPr>
          <w:rFonts w:hint="eastAsia" w:ascii="仿宋_GB2312" w:hAnsi="仿宋_GB2312" w:eastAsia="仿宋_GB2312" w:cs="仿宋_GB2312"/>
          <w:sz w:val="32"/>
          <w:szCs w:val="32"/>
        </w:rPr>
        <w:t>AQI&gt;</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rPr>
        <w:t>持续</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天（</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小时）及以上，且未达到高级别预警条件。</w:t>
      </w:r>
    </w:p>
    <w:p w14:paraId="2186CD2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红色预警。预测</w:t>
      </w:r>
      <w:r>
        <w:rPr>
          <w:rFonts w:hint="eastAsia"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rPr>
        <w:t>AQI&gt;200将持续</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天（</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小时）及以上，且</w:t>
      </w:r>
      <w:r>
        <w:rPr>
          <w:rFonts w:hint="eastAsia"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rPr>
        <w:t>AQI&gt;300持续</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天（</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小时）及以上</w:t>
      </w:r>
      <w:r>
        <w:rPr>
          <w:rFonts w:hint="eastAsia" w:ascii="仿宋_GB2312" w:hAnsi="仿宋_GB2312" w:eastAsia="仿宋_GB2312" w:cs="仿宋_GB2312"/>
          <w:sz w:val="32"/>
          <w:szCs w:val="32"/>
          <w:lang w:eastAsia="zh-CN"/>
        </w:rPr>
        <w:t>。</w:t>
      </w:r>
    </w:p>
    <w:p w14:paraId="2EC3698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除以上预警等级之外，当预测AQI日均值&gt;200持续一天（24小时），且未达到高级别预警标准时，区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办公室随空气质量预报信息发布健康防护提示性信息，详见附件3。</w:t>
      </w:r>
    </w:p>
    <w:p w14:paraId="169FAB7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3.2 预警信息发布</w:t>
      </w:r>
    </w:p>
    <w:p w14:paraId="3125859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发布主体和程序</w:t>
      </w:r>
    </w:p>
    <w:p w14:paraId="64E7E0E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办公室负责重污染天气预警发布、等级调整与解除。</w:t>
      </w:r>
    </w:p>
    <w:p w14:paraId="3ED8546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预测到未来空气质量可能达到预警启动条件时，提前24小时以上发布预警信息。当监测空气质量已经达到重度污染，且预测未来24小时内空气质量不会有明显改善时，根据实际污染情况尽早启动或调整相应级别的预警。</w:t>
      </w:r>
    </w:p>
    <w:p w14:paraId="00526EBE">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黄色预警应急响应信息由区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办公室主任批准后发布，同时向总指挥和副总指挥报告</w:t>
      </w:r>
      <w:r>
        <w:rPr>
          <w:rFonts w:hint="eastAsia" w:ascii="仿宋_GB2312" w:hAnsi="仿宋_GB2312" w:eastAsia="仿宋_GB2312" w:cs="仿宋_GB2312"/>
          <w:sz w:val="32"/>
          <w:szCs w:val="32"/>
          <w:lang w:eastAsia="zh-CN"/>
        </w:rPr>
        <w:t>。</w:t>
      </w:r>
    </w:p>
    <w:p w14:paraId="7F335EB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橙色预警应急响应信息由区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办公室主任审核，报请副总指挥批准后发布，同时向总指挥报告</w:t>
      </w:r>
      <w:r>
        <w:rPr>
          <w:rFonts w:hint="eastAsia" w:ascii="仿宋_GB2312" w:hAnsi="仿宋_GB2312" w:eastAsia="仿宋_GB2312" w:cs="仿宋_GB2312"/>
          <w:sz w:val="32"/>
          <w:szCs w:val="32"/>
          <w:lang w:eastAsia="zh-CN"/>
        </w:rPr>
        <w:t>。</w:t>
      </w:r>
    </w:p>
    <w:p w14:paraId="1F3C43D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红色预警应急响应信息由区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办公室主任审核，报请指挥部总指挥或总指挥授权的副总指挥批准后发布。</w:t>
      </w:r>
    </w:p>
    <w:p w14:paraId="0E877EC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3.3 预警发布与报告</w:t>
      </w:r>
    </w:p>
    <w:p w14:paraId="07BB7BE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警启动遵循“区级指令、板块（部门）响应”原则。黄色预警，启动Ⅲ级应急响应措施；橙色预警，启动Ⅱ级应急响应措施；红色预警，启动Ⅰ级应急响应措施。重大活动空气质量保障或特殊季节空气质量管控期间，经区政府同意，可提高应急响应级别。</w:t>
      </w:r>
    </w:p>
    <w:p w14:paraId="08F9E4B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重污染天气预警信息需及时向社会发布，同时向市</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办公室报送预警信息。预警信息包括：重污染天气出现的时段、范围、预警等级、不利气象条件情况、主要污染物指标以及未来一段时期内的趋势定性分析。</w:t>
      </w:r>
    </w:p>
    <w:p w14:paraId="3A7E1BE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当收到市级重污染天气预警信息时，必须立即报告区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。同时，由区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办公室负责在1小时内对收到的重污染天气预警信息进行研判。如决定发布预警，则按规定预警程序执行；如决定不发布预警，则在30分钟内，书面回复市重污染天气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w:t>
      </w:r>
    </w:p>
    <w:p w14:paraId="32079B8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预警信息由区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办公室通过以下几种方式发布：</w:t>
      </w:r>
    </w:p>
    <w:p w14:paraId="6C4101D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（1）由区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办公室通过甘州区人民政府门户网站（http://www.gsgz.gov.cn/）或文件传真的方式向区委、区政府总值班室、各成员单位发布预警信息。</w:t>
      </w:r>
    </w:p>
    <w:p w14:paraId="57C9059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（2）由区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办公室通过微信、手机短信等向各责任部门负责同志及联络员、社会公众发布预警信息。</w:t>
      </w:r>
    </w:p>
    <w:p w14:paraId="54628096">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办公室提供应急预警的新闻通稿，由区政府新闻办通过广播电台、电视台、报刊等媒体及微博门户向公众发布预警信息。</w:t>
      </w:r>
    </w:p>
    <w:p w14:paraId="5D94CDE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各成员单位按照职责</w:t>
      </w:r>
      <w:r>
        <w:rPr>
          <w:rFonts w:hint="eastAsia" w:ascii="仿宋_GB2312" w:hAnsi="仿宋_GB2312" w:eastAsia="仿宋_GB2312" w:cs="仿宋_GB2312"/>
          <w:sz w:val="32"/>
          <w:szCs w:val="32"/>
          <w:lang w:eastAsia="zh-CN"/>
        </w:rPr>
        <w:t>分工，</w:t>
      </w:r>
      <w:r>
        <w:rPr>
          <w:rFonts w:hint="eastAsia" w:ascii="仿宋_GB2312" w:hAnsi="仿宋_GB2312" w:eastAsia="仿宋_GB2312" w:cs="仿宋_GB2312"/>
          <w:sz w:val="32"/>
          <w:szCs w:val="32"/>
        </w:rPr>
        <w:t>在预警信息发布后，通知管辖范围内的公众、各单位及工业企业、各类施工工地按照要求采取相应的应急响应措施。</w:t>
      </w:r>
    </w:p>
    <w:p w14:paraId="5D2C65C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因安全生产、民生保障等特殊原因，无法按时采取规定应急响应措施的企事业单位或部门，应及时将书面请示报送</w:t>
      </w:r>
      <w:r>
        <w:rPr>
          <w:rFonts w:hint="eastAsia" w:ascii="仿宋_GB2312" w:hAnsi="仿宋_GB2312" w:eastAsia="仿宋_GB2312" w:cs="仿宋_GB2312"/>
          <w:sz w:val="32"/>
          <w:szCs w:val="32"/>
          <w:lang w:eastAsia="zh-CN"/>
        </w:rPr>
        <w:t>至区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办公室，经区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审批同意后实施。</w:t>
      </w:r>
    </w:p>
    <w:p w14:paraId="14AF5B8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3.4 预警等级调整和预警解除</w:t>
      </w:r>
    </w:p>
    <w:p w14:paraId="2EA2A50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预测AQI日均值发生变化时，及时调整预警等级或解除预警。解除或调整预警信息的发布程序同启动程序一致。</w:t>
      </w:r>
    </w:p>
    <w:p w14:paraId="6F95949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预警级别的调整</w:t>
      </w:r>
    </w:p>
    <w:p w14:paraId="46E739D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当预测发生前后两次重污染过程，但间隔时间未达到36小时，应按一次重污染过程计算，从高级别启动预警。当预测或监测空气质量达到更高级别预警条件时，应迅速采取升级措施，并提前发布预警升级信息。</w:t>
      </w:r>
    </w:p>
    <w:p w14:paraId="04693EEC">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预警信息发布后，由于气象条件变化，预警需要升级或降级的，按照预警发布程序调整预警级别。当全区空气质量指数在不同预警级别条件内频繁波动时，按高级别预警执行。</w:t>
      </w:r>
    </w:p>
    <w:p w14:paraId="07C70D8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预警降级与解除</w:t>
      </w:r>
    </w:p>
    <w:p w14:paraId="775F00E3">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当预测或监测空气质量改善到相应级别预警启动标准之下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且预测将持续36小时以上，应降低预警级别或解除预警，并及时发布预警调整或解除信息。</w:t>
      </w:r>
    </w:p>
    <w:p w14:paraId="31F633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z w:val="32"/>
          <w:szCs w:val="32"/>
        </w:rPr>
        <w:t>4.应</w:t>
      </w:r>
      <w:r>
        <w:rPr>
          <w:rFonts w:hint="eastAsia" w:ascii="黑体" w:hAnsi="黑体" w:eastAsia="黑体" w:cs="黑体"/>
          <w:color w:val="000000" w:themeColor="text1"/>
          <w:sz w:val="32"/>
          <w:szCs w:val="32"/>
          <w14:textFill>
            <w14:solidFill>
              <w14:schemeClr w14:val="tx1"/>
            </w14:solidFill>
          </w14:textFill>
        </w:rPr>
        <w:t>急</w:t>
      </w:r>
      <w:r>
        <w:rPr>
          <w:rFonts w:hint="eastAsia" w:ascii="黑体" w:hAnsi="黑体" w:eastAsia="黑体" w:cs="黑体"/>
          <w:color w:val="000000" w:themeColor="text1"/>
          <w:sz w:val="32"/>
          <w:szCs w:val="32"/>
          <w:lang w:val="en-US" w:eastAsia="zh-CN"/>
          <w14:textFill>
            <w14:solidFill>
              <w14:schemeClr w14:val="tx1"/>
            </w14:solidFill>
          </w14:textFill>
        </w:rPr>
        <w:t>响应</w:t>
      </w:r>
      <w:r>
        <w:rPr>
          <w:rFonts w:hint="eastAsia" w:ascii="黑体" w:hAnsi="黑体" w:eastAsia="黑体" w:cs="黑体"/>
          <w:color w:val="000000" w:themeColor="text1"/>
          <w:sz w:val="32"/>
          <w:szCs w:val="32"/>
          <w14:textFill>
            <w14:solidFill>
              <w14:schemeClr w14:val="tx1"/>
            </w14:solidFill>
          </w14:textFill>
        </w:rPr>
        <w:t>措施</w:t>
      </w:r>
    </w:p>
    <w:p w14:paraId="1F484346">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4.1 应急响应分级</w:t>
      </w:r>
    </w:p>
    <w:p w14:paraId="500A19B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应急响应分为三个等级，由低到高依次为Ⅲ级应急响应、Ⅱ级应急响应、Ⅰ级应急响应。</w:t>
      </w:r>
    </w:p>
    <w:p w14:paraId="03489C8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（1）当发布黄色预警时，启动Ⅲ级应急响应。</w:t>
      </w:r>
    </w:p>
    <w:p w14:paraId="453A0A8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（2）当发布橙色预警时，启动Ⅱ级应急响应。</w:t>
      </w:r>
    </w:p>
    <w:p w14:paraId="4D4E078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（3）当发布红色预警时，启动Ⅰ级应急响应。</w:t>
      </w:r>
    </w:p>
    <w:p w14:paraId="4437C62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4.2 应急响应启动</w:t>
      </w:r>
    </w:p>
    <w:p w14:paraId="33E9330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预警信息一经发布，区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各成员单位按照各</w:t>
      </w:r>
      <w:r>
        <w:rPr>
          <w:rFonts w:hint="eastAsia" w:ascii="仿宋_GB2312" w:hAnsi="仿宋_GB2312" w:eastAsia="仿宋_GB2312" w:cs="仿宋_GB2312"/>
          <w:color w:val="000000" w:themeColor="text1"/>
          <w:sz w:val="32"/>
          <w:szCs w:val="32"/>
          <w14:textFill>
            <w14:solidFill>
              <w14:schemeClr w14:val="tx1"/>
            </w14:solidFill>
          </w14:textFill>
        </w:rPr>
        <w:t>自应急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职责</w:t>
      </w:r>
      <w:r>
        <w:rPr>
          <w:rFonts w:hint="eastAsia" w:ascii="仿宋_GB2312" w:hAnsi="仿宋_GB2312" w:eastAsia="仿宋_GB2312" w:cs="仿宋_GB2312"/>
          <w:color w:val="000000" w:themeColor="text1"/>
          <w:sz w:val="32"/>
          <w:szCs w:val="32"/>
          <w14:textFill>
            <w14:solidFill>
              <w14:schemeClr w14:val="tx1"/>
            </w14:solidFill>
          </w14:textFill>
        </w:rPr>
        <w:t>立即</w:t>
      </w:r>
      <w:r>
        <w:rPr>
          <w:rFonts w:hint="eastAsia" w:ascii="仿宋_GB2312" w:hAnsi="仿宋_GB2312" w:eastAsia="仿宋_GB2312" w:cs="仿宋_GB2312"/>
          <w:sz w:val="32"/>
          <w:szCs w:val="32"/>
        </w:rPr>
        <w:t>启动应急响应，迅速组织落实应急响应措施。</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建立协调机制，在Ⅰ级响应时召开协调会议，在Ⅱ级或Ⅲ级响应时适时召开协调会议，对应急工作进行部署。在启动应急响应措施的同时，相关成员单位可根据污染特征，在重点区域、重点时段、重点领域，实施有针对性的应急减排措施，确保应急实效。</w:t>
      </w:r>
    </w:p>
    <w:p w14:paraId="548A56C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办公室及各成员单位必须保持值班电话畅通，并安排人员值班，各相关人员必须24小时保持电话畅通，确保应急时能够统一调动有关人员、物资迅速到位。</w:t>
      </w:r>
    </w:p>
    <w:p w14:paraId="1868356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应急期间，落实应急值守制度，黄色预警期间各单位保持备班备勤，橙色预警期间加强在岗值守，红色预警期间要全天值守。</w:t>
      </w:r>
    </w:p>
    <w:p w14:paraId="7B4AF60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4.3 应急响应措施</w:t>
      </w:r>
    </w:p>
    <w:p w14:paraId="393D97B3">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总体要求</w:t>
      </w:r>
    </w:p>
    <w:p w14:paraId="62C4028C">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（1）应逐个排查本行政区域内工业源、移动源、扬尘源等各类污染源，摸清污染排放实际情况，填报应急减排项目清单，可根据实际执行情况，于每年7月底前调整应急减排清单，并报区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办公室备案。</w:t>
      </w:r>
    </w:p>
    <w:p w14:paraId="59D31636">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减排操作方案包含企业基本情况、主要生产工艺流程、主要涉气产污环节及污染物排放情况，并载明不同级别预警下的应急减排措施，明确具体的停产生产线、工艺环节和各类减排措施的关键性指标。对于采取提高治污效率降低污染物排放的企业或工艺环节，应载明执行的污染物排放标准以及不同级别预警的排放限值。应制定企业操作方案“一厂一策”公示牌并安装在厂区入口等显要位置。</w:t>
      </w:r>
    </w:p>
    <w:p w14:paraId="01813C96">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强制性减排措施中，二氧化硫、氮氧化物、颗粒物的减排比例在黄色、橙色和红色预警期间应分别达到全社会占比的10%、20%和30%以上，挥发性有机物减排比例应达到10%、15%和20%以上。可根据本辖区污染排放实际情况，调整强制性减排措施中二氧化硫和氮氧化物减排比例，但二者比例之和不应低于上述总要求。</w:t>
      </w:r>
    </w:p>
    <w:p w14:paraId="183B385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分级响应措施</w:t>
      </w:r>
    </w:p>
    <w:p w14:paraId="005D867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各级别响应应明确健康防护提醒措施、建议性污染减排措施和强制性污染减排措施。预警启动的同时，执行相应等级的应急减排措施；如有必要，预警启动的同时可执行更高级别的应急减排措施。</w:t>
      </w:r>
    </w:p>
    <w:p w14:paraId="048A03F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甘州区重污染天气各级应急响应措施见附件4。</w:t>
      </w:r>
    </w:p>
    <w:p w14:paraId="7302C40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监督检查</w:t>
      </w:r>
    </w:p>
    <w:p w14:paraId="65FA5F26">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组对全区应急措施落实情况加强抽查检查。自预警信息发布后24小时起对各成员单位落实情况进行监督检查。各成员单位要督促本行业、本辖区具体应急措施的落实，并在重污染天气应急响应期间每日15︰00前向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办公室报送落实情况。</w:t>
      </w:r>
    </w:p>
    <w:p w14:paraId="1AAE33D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检查内容包括：工业企业空气污染源监管，污染治理设施与在线监测仪器设备的运行情况，重污染天气期间企业停限产实施情况；机动车尾气达标排放情况，机动车限行管理；建筑、道路、拆迁等施工工地喷淋、围挡和扬尘防治措施到位情况；露天垃圾焚烧监管；空气质量、气象条件的监测和预报工作；以及相关单位、部门应急响应履职情况等。</w:t>
      </w:r>
    </w:p>
    <w:p w14:paraId="4722C5A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4.3.4</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信息公开</w:t>
      </w:r>
    </w:p>
    <w:p w14:paraId="5961D334">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及时通过电视、广播、报纸、互联网、手机短信、当面告知等方式，及时、准确、客观、全面地向社会发布重污染天气情况和采取应急措施的有关信息，对负面信息予以积极回应和正面引导，防止各种谣言影响社会稳定。</w:t>
      </w:r>
    </w:p>
    <w:p w14:paraId="1A514EAC">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应急响应终止</w:t>
      </w:r>
    </w:p>
    <w:p w14:paraId="6FE1D65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预警解除即响应终止，由区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办公室下达应急终止命令，终止应急响应。各成员单位负责通知采取响应措施的单位终止响应。</w:t>
      </w:r>
    </w:p>
    <w:p w14:paraId="68171A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5.总结评估</w:t>
      </w:r>
    </w:p>
    <w:p w14:paraId="526B1B08">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各成员单位要在应急响应终止3个工作日内，对重污染天气应急响应情况进行总结评估，并将总结评估报告报送区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办公室。区</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办公室组织相关部门和技术专家对全区应急响应情况进行总结评估，并将总结评估报告报送市</w:t>
      </w:r>
      <w:r>
        <w:rPr>
          <w:rFonts w:hint="eastAsia" w:ascii="仿宋_GB2312" w:hAnsi="仿宋_GB2312" w:eastAsia="仿宋_GB2312" w:cs="仿宋_GB2312"/>
          <w:sz w:val="32"/>
          <w:szCs w:val="32"/>
          <w:lang w:eastAsia="zh-CN"/>
        </w:rPr>
        <w:t>重污染天气应急指挥部</w:t>
      </w:r>
      <w:r>
        <w:rPr>
          <w:rFonts w:hint="eastAsia" w:ascii="仿宋_GB2312" w:hAnsi="仿宋_GB2312" w:eastAsia="仿宋_GB2312" w:cs="仿宋_GB2312"/>
          <w:sz w:val="32"/>
          <w:szCs w:val="32"/>
        </w:rPr>
        <w:t>办公室。总结评估报告应包括应急响应采取的措施、取得的成效、发现的问题及改进措施等。</w:t>
      </w:r>
    </w:p>
    <w:p w14:paraId="310035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6.应急保障</w:t>
      </w:r>
    </w:p>
    <w:p w14:paraId="2C1C787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6.1 组织保障</w:t>
      </w:r>
    </w:p>
    <w:p w14:paraId="4767435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组织有关成员单位及相关人员组成技术支撑、督导考核等组织机构，组建重污染天气环境应急专家库，并做好业务培训。</w:t>
      </w:r>
    </w:p>
    <w:p w14:paraId="2D4D671D">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6.2 监测与预警能力保障</w:t>
      </w:r>
    </w:p>
    <w:p w14:paraId="126FE63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生态环境局甘州分局和区气象局要密切合作，协调张掖生态环境监测中心建立健全重污染天气监测预警体系，做好重污染天气过程的趋势分析，完善会商研判机制，提高监测预警的准确度，及时发布监测预警建议。</w:t>
      </w:r>
    </w:p>
    <w:p w14:paraId="3CA5F99C">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6.3 通信与信息保障</w:t>
      </w:r>
    </w:p>
    <w:p w14:paraId="6BB2D2D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建立信息通信系统及维护方案，确保应急时期信息通畅，有必要时建立备用方案。区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办公室对各相关成员单位及相关人员联系电话、联系人定期进行收集更新，更新后的信息要在24小时内向各乡镇、街道和部门单位通报，并更新预案相关附件。</w:t>
      </w:r>
    </w:p>
    <w:p w14:paraId="63BC61B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6.4 经费保障</w:t>
      </w:r>
    </w:p>
    <w:p w14:paraId="5B4B7FB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保障资金由各成员单位根据重污染天气事件应急需要，提出项目支出预算报区政府审批后执行。日常运作保障资金，包括应急技术支持和演习等工作的资金，按规定程序列入部门预算。该经费不得以任何理由挪作他用，保障应急状态时应急经费的及时到位。</w:t>
      </w:r>
    </w:p>
    <w:p w14:paraId="3C88F66B">
      <w:pPr>
        <w:pStyle w:val="3"/>
        <w:keepNext/>
        <w:pageBreakBefore w:val="0"/>
        <w:widowControl/>
        <w:kinsoku/>
        <w:wordWrap/>
        <w:overflowPunct/>
        <w:topLinePunct w:val="0"/>
        <w:autoSpaceDE w:val="0"/>
        <w:autoSpaceDN w:val="0"/>
        <w:bidi w:val="0"/>
        <w:adjustRightInd w:val="0"/>
        <w:snapToGrid w:val="0"/>
        <w:spacing w:beforeLines="0" w:afterLines="0" w:line="560" w:lineRule="exact"/>
        <w:jc w:val="both"/>
        <w:textAlignment w:val="baseline"/>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6.5 </w:t>
      </w:r>
      <w:r>
        <w:rPr>
          <w:color w:val="000000" w:themeColor="text1"/>
          <w:lang w:val="en-US" w:eastAsia="zh-CN"/>
          <w14:textFill>
            <w14:solidFill>
              <w14:schemeClr w14:val="tx1"/>
            </w14:solidFill>
          </w14:textFill>
        </w:rPr>
        <w:t>应急物资储备库</w:t>
      </w:r>
    </w:p>
    <w:p w14:paraId="7E4A01F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en-US"/>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6.5.1 储备库设置与分级</w:t>
      </w:r>
    </w:p>
    <w:p w14:paraId="211F4A69">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（1）区级环境应急物资储备库由市生态环境局甘州分局统筹建设，配备应对一般突发生态环境事件所需物资。</w:t>
      </w:r>
    </w:p>
    <w:p w14:paraId="3F7AC97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（2）环境风险较大及以上的企事业单位应建立企业级环境应急物资储备点，储备与其环境风险等级、应急预案及可能发生的污染类型相匹配的物资，并接受区重污染天气应急指挥部办公室监督检查。</w:t>
      </w:r>
    </w:p>
    <w:p w14:paraId="07D737A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6.5.2 物资储备目录管理</w:t>
      </w:r>
    </w:p>
    <w:p w14:paraId="59CDC2F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（1）区重污染天气应急指挥部办公室应制定并动态更新《甘州区环境应急物资储备指导目录》，按照预防方向，明确各类物资的品种、数量及性能要求。</w:t>
      </w:r>
    </w:p>
    <w:p w14:paraId="17B73F0D">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（2）物资储备应注重实用性和时效性，对易变质、易损耗、有有效期限的物资（如活性炭、化学药剂、防护装备等）实行定期轮换和补充，确保随时处于可用状态。</w:t>
      </w:r>
    </w:p>
    <w:p w14:paraId="1946ACD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6.5.3 物资管理与调度</w:t>
      </w:r>
    </w:p>
    <w:p w14:paraId="55BC112C">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（1）须建立应急物资台账，对储备物资的品种、数量、存放地点、有效期、维护状态及调拨信息实行动态管理。</w:t>
      </w:r>
    </w:p>
    <w:p w14:paraId="50B43637">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发生突发事件时，按照“就近调用、先主后补、统一调配”的原则，由现场重污染天气应急指挥部应急保障组统筹调配使用区级储备库物资；区级储备物资不足时，可依法征用就近企业物资或向上级申请支援。</w:t>
      </w:r>
    </w:p>
    <w:p w14:paraId="3068DF9A">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（3）应急物资使用后，储备管理单位应及时组织补充。消耗性物资由市生态环境局甘州分局负责按原规格数量在应急处置结束后15个工作日内补足；大型装备损坏的，由区财政统筹安排修复或更新。</w:t>
      </w:r>
    </w:p>
    <w:p w14:paraId="445E8861">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6.5.4 储备库维护与保障</w:t>
      </w:r>
    </w:p>
    <w:p w14:paraId="5956AB76">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（1）区财政局应将区级环境应急物资储备库建设、维护、更新及物资轮换所需经费纳入年度部门预算。</w:t>
      </w:r>
    </w:p>
    <w:p w14:paraId="100BFBC4">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（2）储备库应配备必要的仓储设施、通风除湿、消防安保及装卸搬运设备，指定专业第三方管理，定期盘点、维护和保养，确保应急状态下的快速调运能力。</w:t>
      </w:r>
    </w:p>
    <w:p w14:paraId="29F03A02">
      <w:pPr>
        <w:keepNext/>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（3）区重污染天气应急指挥部办公室应每年至少组织一次对区级储备库及重点企业储备点的专项检查，对物资储备种类不全、数量不足、维护不当等问题督促整改。</w:t>
      </w:r>
    </w:p>
    <w:p w14:paraId="084712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7.监督管理</w:t>
      </w:r>
    </w:p>
    <w:p w14:paraId="30493ADE">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7.1 预案宣传</w:t>
      </w:r>
    </w:p>
    <w:p w14:paraId="09461D3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各成员单位应充分利用互联网、电视、广播、报刊等新闻媒体，加强预案以及重污染天气应急</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的宣传，加强重污染天气成因、危害、治理工作和个人健康防护措施等科普知识的宣传，及时、准确发布重污染天气有关信息，正确引导舆论。</w:t>
      </w:r>
    </w:p>
    <w:p w14:paraId="15D263A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7.2 预案培训</w:t>
      </w:r>
    </w:p>
    <w:p w14:paraId="3A0068C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各成员单位应建立健全重污染天气应急预案培训制度，根据应急预案职责分工，制定培训计划，明确培训内容与时间，并对培训效果进行考核，确保培训规范有序进行。</w:t>
      </w:r>
    </w:p>
    <w:p w14:paraId="2D77114B">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7.3 应急演练</w:t>
      </w:r>
    </w:p>
    <w:p w14:paraId="5785B2BC">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各成员单位应结合实际情况定期组织预案演练，编制演练方案，明确演练目的、方式、参与人员、内容、规则以及场景等，重点检验重污染天气预警信息发布、应急响应措施落实、监督检查执行等，演练后应及时进行总结评估，并根据演练取得的经验成果和存在问题及时修订应急预案。</w:t>
      </w:r>
    </w:p>
    <w:p w14:paraId="7D1F2CE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7.4 责任与奖惩</w:t>
      </w:r>
    </w:p>
    <w:p w14:paraId="3CE8A973">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重污染天气预警启动时，区</w:t>
      </w:r>
      <w:r>
        <w:rPr>
          <w:rFonts w:hint="eastAsia" w:ascii="仿宋_GB2312" w:hAnsi="仿宋_GB2312" w:eastAsia="仿宋_GB2312" w:cs="仿宋_GB2312"/>
          <w:sz w:val="32"/>
          <w:szCs w:val="32"/>
          <w:highlight w:val="none"/>
          <w:u w:val="none"/>
          <w:lang w:val="en-US" w:eastAsia="zh-CN"/>
        </w:rPr>
        <w:t>重污染天气</w:t>
      </w:r>
      <w:r>
        <w:rPr>
          <w:rFonts w:hint="eastAsia" w:ascii="仿宋_GB2312" w:hAnsi="仿宋_GB2312" w:eastAsia="仿宋_GB2312" w:cs="仿宋_GB2312"/>
          <w:sz w:val="32"/>
          <w:szCs w:val="32"/>
          <w:lang w:eastAsia="zh-CN"/>
        </w:rPr>
        <w:t>应急指挥部</w:t>
      </w:r>
      <w:r>
        <w:rPr>
          <w:rFonts w:hint="eastAsia" w:ascii="仿宋_GB2312" w:hAnsi="仿宋_GB2312" w:eastAsia="仿宋_GB2312" w:cs="仿宋_GB2312"/>
          <w:sz w:val="32"/>
          <w:szCs w:val="32"/>
        </w:rPr>
        <w:t>办公室要组织相关部门对各成员单位应急措施的组织落实情况进行抽查，将抽查结果纳入考核；对未按照规定落实各项应急措施的成员单位进行通报、约谈；对因工作不力、行政效率低下、履职缺位等导致未有效落实应急措施的有关单位和人员，依据有关</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、规章追究责任。</w:t>
      </w:r>
    </w:p>
    <w:p w14:paraId="3E79CA4F">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有关部门要加大应急响应期间的执法检查力度，确保各项措施落实到位，对重污染天气期间发现的露天烧烤、露天焚烧、企业超标排放、违法排污和错峰生产未落实到位等问题要依法从严从重处理。</w:t>
      </w:r>
    </w:p>
    <w:p w14:paraId="5AFE19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8.附则</w:t>
      </w:r>
    </w:p>
    <w:p w14:paraId="07BD3DBE">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8.1 名词术语</w:t>
      </w:r>
    </w:p>
    <w:p w14:paraId="75B5315C">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1.AQI：即环境空气质量指数(Air</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Quality</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Index，简称AQI)，是定量描述空气质量状况的指标。</w:t>
      </w:r>
    </w:p>
    <w:p w14:paraId="6D84F7DE">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2.重污染天气，根据《环境空气质量指数（AQI）技术规定》，指空气质量指数（AQI）&gt;200，即污染级别达到5级（重度污染）及以上程度的大气污染天气。</w:t>
      </w:r>
    </w:p>
    <w:p w14:paraId="66AD33A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8.2 预案管理</w:t>
      </w:r>
    </w:p>
    <w:p w14:paraId="4F40B44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rPr>
      </w:pPr>
      <w:r>
        <w:rPr>
          <w:rFonts w:hint="eastAsia" w:ascii="仿宋_GB2312" w:hAnsi="仿宋_GB2312" w:eastAsia="仿宋_GB2312" w:cs="仿宋_GB2312"/>
          <w:sz w:val="32"/>
          <w:szCs w:val="32"/>
        </w:rPr>
        <w:t>本预案由市生态环境局甘州分局制定，并根据情况变化及时修订完善。</w:t>
      </w:r>
    </w:p>
    <w:p w14:paraId="50D5A13A">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8.3 预案解释</w:t>
      </w:r>
    </w:p>
    <w:p w14:paraId="7F809800">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本预案由市生态环境局甘州分局负责解释。</w:t>
      </w:r>
    </w:p>
    <w:p w14:paraId="16D3D8B5">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leftChars="0" w:firstLine="643" w:firstLineChars="200"/>
        <w:jc w:val="left"/>
        <w:textAlignment w:val="baseline"/>
        <w:rPr>
          <w:rFonts w:hint="eastAsia" w:ascii="楷体_GB2312" w:hAnsi="楷体_GB2312" w:eastAsia="楷体_GB2312" w:cs="楷体_GB2312"/>
          <w:b/>
          <w:bCs w:val="0"/>
          <w:i w:val="0"/>
          <w:strike w:val="0"/>
          <w:snapToGrid w:val="0"/>
          <w:color w:val="auto"/>
          <w:kern w:val="0"/>
          <w:sz w:val="32"/>
          <w:szCs w:val="32"/>
          <w:u w:val="none"/>
          <w:lang w:val="en-US" w:eastAsia="zh-CN" w:bidi="ar"/>
        </w:rPr>
      </w:pPr>
      <w:r>
        <w:rPr>
          <w:rFonts w:hint="eastAsia" w:ascii="楷体_GB2312" w:hAnsi="楷体_GB2312" w:eastAsia="楷体_GB2312" w:cs="楷体_GB2312"/>
          <w:b/>
          <w:bCs w:val="0"/>
          <w:i w:val="0"/>
          <w:strike w:val="0"/>
          <w:snapToGrid w:val="0"/>
          <w:color w:val="auto"/>
          <w:kern w:val="0"/>
          <w:sz w:val="32"/>
          <w:szCs w:val="32"/>
          <w:u w:val="none"/>
          <w:lang w:val="en-US" w:eastAsia="zh-CN" w:bidi="ar"/>
        </w:rPr>
        <w:t>8.4 预案实施</w:t>
      </w:r>
    </w:p>
    <w:p w14:paraId="53D23B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仿宋_GB2312" w:cs="方正仿宋_GB2312"/>
          <w:sz w:val="32"/>
          <w:szCs w:val="32"/>
          <w:lang w:eastAsia="zh-CN"/>
        </w:rPr>
        <w:sectPr>
          <w:footerReference r:id="rId3" w:type="default"/>
          <w:pgSz w:w="11906" w:h="16838"/>
          <w:pgMar w:top="2098" w:right="1474" w:bottom="1984" w:left="1587" w:header="851" w:footer="992" w:gutter="0"/>
          <w:pgNumType w:fmt="decimal"/>
          <w:cols w:space="0" w:num="1"/>
          <w:rtlGutter w:val="0"/>
          <w:docGrid w:type="lines" w:linePitch="312" w:charSpace="0"/>
        </w:sectPr>
      </w:pPr>
      <w:r>
        <w:rPr>
          <w:rFonts w:hint="eastAsia" w:ascii="仿宋_GB2312" w:hAnsi="仿宋_GB2312" w:eastAsia="仿宋_GB2312" w:cs="仿宋_GB2312"/>
          <w:sz w:val="32"/>
          <w:szCs w:val="32"/>
        </w:rPr>
        <w:t>本预案自印发之日起实施</w:t>
      </w:r>
      <w:r>
        <w:rPr>
          <w:rFonts w:hint="eastAsia" w:ascii="仿宋_GB2312" w:hAnsi="仿宋_GB2312" w:eastAsia="仿宋_GB2312" w:cs="仿宋_GB2312"/>
          <w:sz w:val="32"/>
          <w:szCs w:val="32"/>
          <w:lang w:eastAsia="zh-CN"/>
        </w:rPr>
        <w:t>。</w:t>
      </w:r>
    </w:p>
    <w:p w14:paraId="7E80AA5A">
      <w:pPr>
        <w:spacing w:before="101" w:line="417" w:lineRule="exact"/>
        <w:rPr>
          <w:rFonts w:ascii="黑体" w:hAnsi="黑体" w:eastAsia="黑体" w:cs="黑体"/>
          <w:spacing w:val="-5"/>
          <w:position w:val="1"/>
          <w:sz w:val="32"/>
          <w:szCs w:val="32"/>
        </w:rPr>
      </w:pPr>
    </w:p>
    <w:p w14:paraId="5223299C">
      <w:pPr>
        <w:spacing w:before="101" w:line="417" w:lineRule="exact"/>
        <w:rPr>
          <w:rFonts w:ascii="黑体" w:hAnsi="黑体" w:eastAsia="黑体" w:cs="黑体"/>
          <w:sz w:val="32"/>
          <w:szCs w:val="32"/>
        </w:rPr>
      </w:pPr>
      <w:r>
        <w:rPr>
          <w:rFonts w:ascii="黑体" w:hAnsi="黑体" w:eastAsia="黑体" w:cs="黑体"/>
          <w:spacing w:val="-5"/>
          <w:position w:val="1"/>
          <w:sz w:val="32"/>
          <w:szCs w:val="32"/>
        </w:rPr>
        <w:t>附件1</w:t>
      </w:r>
    </w:p>
    <w:p w14:paraId="7D5DCB66">
      <w:pPr>
        <w:spacing w:before="78" w:line="593" w:lineRule="exact"/>
        <w:ind w:left="3170"/>
        <w:rPr>
          <w:rFonts w:ascii="宋体" w:hAnsi="宋体" w:eastAsia="宋体" w:cs="宋体"/>
          <w:sz w:val="43"/>
          <w:szCs w:val="43"/>
        </w:rPr>
      </w:pPr>
      <w:r>
        <w:rPr>
          <w:rFonts w:ascii="宋体" w:hAnsi="宋体" w:eastAsia="宋体" w:cs="宋体"/>
          <w:b/>
          <w:bCs/>
          <w:spacing w:val="4"/>
          <w:position w:val="2"/>
          <w:sz w:val="43"/>
          <w:szCs w:val="43"/>
        </w:rPr>
        <w:t>甘州区重污染天气应急组织体系框架图</w:t>
      </w:r>
    </w:p>
    <w:p w14:paraId="0F37E3DB">
      <w:pPr>
        <w:pStyle w:val="2"/>
      </w:pPr>
    </w:p>
    <w:p w14:paraId="6467DB45">
      <w:pPr>
        <w:rPr>
          <w:rFonts w:hint="eastAsia" w:eastAsiaTheme="minorEastAsia"/>
          <w:lang w:eastAsia="zh-CN"/>
        </w:rPr>
        <w:sectPr>
          <w:footerReference r:id="rId4" w:type="default"/>
          <w:pgSz w:w="16839" w:h="11906" w:orient="landscape"/>
          <w:pgMar w:top="2098" w:right="1474" w:bottom="1984" w:left="1587" w:header="0" w:footer="1196" w:gutter="0"/>
          <w:pgNumType w:fmt="decimal"/>
          <w:cols w:space="720" w:num="1"/>
        </w:sectPr>
      </w:pPr>
      <w:r>
        <w:drawing>
          <wp:anchor distT="0" distB="0" distL="114300" distR="114300" simplePos="0" relativeHeight="251662336" behindDoc="0" locked="0" layoutInCell="1" allowOverlap="1">
            <wp:simplePos x="0" y="0"/>
            <wp:positionH relativeFrom="column">
              <wp:posOffset>927100</wp:posOffset>
            </wp:positionH>
            <wp:positionV relativeFrom="paragraph">
              <wp:posOffset>6350</wp:posOffset>
            </wp:positionV>
            <wp:extent cx="6828155" cy="2974975"/>
            <wp:effectExtent l="0" t="0" r="4445" b="9525"/>
            <wp:wrapSquare wrapText="bothSides"/>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2"/>
                    <a:srcRect r="22164"/>
                    <a:stretch>
                      <a:fillRect/>
                    </a:stretch>
                  </pic:blipFill>
                  <pic:spPr>
                    <a:xfrm>
                      <a:off x="0" y="0"/>
                      <a:ext cx="6828155" cy="2974975"/>
                    </a:xfrm>
                    <a:prstGeom prst="rect">
                      <a:avLst/>
                    </a:prstGeom>
                    <a:noFill/>
                    <a:ln>
                      <a:noFill/>
                    </a:ln>
                  </pic:spPr>
                </pic:pic>
              </a:graphicData>
            </a:graphic>
          </wp:anchor>
        </w:drawing>
      </w:r>
    </w:p>
    <w:p w14:paraId="310484DC">
      <w:pPr>
        <w:spacing w:before="101" w:line="417" w:lineRule="exact"/>
        <w:rPr>
          <w:rFonts w:hint="eastAsia" w:ascii="黑体" w:hAnsi="黑体" w:eastAsia="黑体" w:cs="黑体"/>
          <w:sz w:val="31"/>
          <w:szCs w:val="31"/>
          <w:lang w:val="en-US" w:eastAsia="zh-CN"/>
        </w:rPr>
      </w:pPr>
    </w:p>
    <w:p w14:paraId="25BFCEC1">
      <w:pPr>
        <w:spacing w:before="101" w:line="417" w:lineRule="exact"/>
        <w:rPr>
          <w:rFonts w:hint="default" w:ascii="黑体" w:hAnsi="黑体" w:eastAsia="黑体" w:cs="黑体"/>
          <w:sz w:val="31"/>
          <w:szCs w:val="31"/>
          <w:lang w:val="en-US" w:eastAsia="zh-CN"/>
        </w:rPr>
      </w:pPr>
      <w:r>
        <w:rPr>
          <w:rFonts w:hint="eastAsia" w:ascii="黑体" w:hAnsi="黑体" w:eastAsia="黑体" w:cs="黑体"/>
          <w:sz w:val="31"/>
          <w:szCs w:val="31"/>
          <w:lang w:val="en-US" w:eastAsia="zh-CN"/>
        </w:rPr>
        <w:t>附件2</w:t>
      </w:r>
    </w:p>
    <w:p w14:paraId="3025C600">
      <w:pPr>
        <w:spacing w:line="445" w:lineRule="auto"/>
        <w:rPr>
          <w:rFonts w:ascii="Arial"/>
          <w:sz w:val="21"/>
        </w:rPr>
      </w:pPr>
    </w:p>
    <w:p w14:paraId="7C143A8B">
      <w:pPr>
        <w:spacing w:before="130" w:line="232" w:lineRule="auto"/>
        <w:ind w:left="2727" w:right="1630" w:hanging="793"/>
        <w:rPr>
          <w:rFonts w:ascii="宋体" w:hAnsi="宋体" w:eastAsia="宋体" w:cs="宋体"/>
          <w:sz w:val="40"/>
          <w:szCs w:val="40"/>
        </w:rPr>
      </w:pPr>
      <w:r>
        <w:rPr>
          <w:rFonts w:ascii="宋体" w:hAnsi="宋体" w:eastAsia="宋体" w:cs="宋体"/>
          <w:b/>
          <w:bCs/>
          <w:spacing w:val="-6"/>
          <w:sz w:val="40"/>
          <w:szCs w:val="40"/>
        </w:rPr>
        <w:t>甘州区</w:t>
      </w:r>
      <w:r>
        <w:rPr>
          <w:rFonts w:hint="eastAsia" w:ascii="宋体" w:hAnsi="宋体" w:eastAsia="宋体" w:cs="宋体"/>
          <w:b/>
          <w:bCs/>
          <w:spacing w:val="-6"/>
          <w:sz w:val="40"/>
          <w:szCs w:val="40"/>
          <w:lang w:eastAsia="zh-CN"/>
        </w:rPr>
        <w:t>重污染天气应急指挥部</w:t>
      </w:r>
      <w:r>
        <w:rPr>
          <w:rFonts w:ascii="宋体" w:hAnsi="宋体" w:eastAsia="宋体" w:cs="宋体"/>
          <w:b/>
          <w:bCs/>
          <w:spacing w:val="-5"/>
          <w:sz w:val="40"/>
          <w:szCs w:val="40"/>
        </w:rPr>
        <w:t>成员单位及联系方式</w:t>
      </w:r>
    </w:p>
    <w:p w14:paraId="04D4F6A7">
      <w:pPr>
        <w:spacing w:before="76"/>
      </w:pPr>
    </w:p>
    <w:tbl>
      <w:tblPr>
        <w:tblStyle w:val="11"/>
        <w:tblW w:w="874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2"/>
        <w:gridCol w:w="944"/>
        <w:gridCol w:w="3778"/>
        <w:gridCol w:w="1364"/>
        <w:gridCol w:w="1709"/>
      </w:tblGrid>
      <w:tr w14:paraId="148CA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52" w:type="dxa"/>
            <w:vMerge w:val="restart"/>
            <w:tcBorders>
              <w:top w:val="single" w:color="000000" w:sz="2" w:space="0"/>
              <w:left w:val="single" w:color="000000" w:sz="2" w:space="0"/>
              <w:bottom w:val="nil"/>
            </w:tcBorders>
            <w:vAlign w:val="top"/>
          </w:tcPr>
          <w:p w14:paraId="44A78503">
            <w:pPr>
              <w:spacing w:before="323" w:line="208" w:lineRule="auto"/>
              <w:ind w:left="215"/>
              <w:rPr>
                <w:rFonts w:ascii="微软雅黑" w:hAnsi="微软雅黑" w:eastAsia="微软雅黑" w:cs="微软雅黑"/>
                <w:sz w:val="20"/>
                <w:szCs w:val="20"/>
              </w:rPr>
            </w:pPr>
            <w:r>
              <w:rPr>
                <w:rFonts w:ascii="微软雅黑" w:hAnsi="微软雅黑" w:eastAsia="微软雅黑" w:cs="微软雅黑"/>
                <w:b/>
                <w:bCs/>
                <w:spacing w:val="4"/>
                <w:sz w:val="20"/>
                <w:szCs w:val="20"/>
              </w:rPr>
              <w:t>分工</w:t>
            </w:r>
          </w:p>
        </w:tc>
        <w:tc>
          <w:tcPr>
            <w:tcW w:w="944" w:type="dxa"/>
            <w:vMerge w:val="restart"/>
            <w:tcBorders>
              <w:top w:val="single" w:color="000000" w:sz="2" w:space="0"/>
              <w:bottom w:val="nil"/>
            </w:tcBorders>
            <w:vAlign w:val="top"/>
          </w:tcPr>
          <w:p w14:paraId="1FD97D73">
            <w:pPr>
              <w:spacing w:before="323" w:line="209" w:lineRule="auto"/>
              <w:ind w:left="156"/>
              <w:rPr>
                <w:rFonts w:ascii="微软雅黑" w:hAnsi="微软雅黑" w:eastAsia="微软雅黑" w:cs="微软雅黑"/>
                <w:sz w:val="20"/>
                <w:szCs w:val="20"/>
              </w:rPr>
            </w:pPr>
            <w:r>
              <w:rPr>
                <w:rFonts w:ascii="微软雅黑" w:hAnsi="微软雅黑" w:eastAsia="微软雅黑" w:cs="微软雅黑"/>
                <w:b/>
                <w:bCs/>
                <w:spacing w:val="3"/>
                <w:sz w:val="20"/>
                <w:szCs w:val="20"/>
              </w:rPr>
              <w:t>姓名</w:t>
            </w:r>
          </w:p>
        </w:tc>
        <w:tc>
          <w:tcPr>
            <w:tcW w:w="3778" w:type="dxa"/>
            <w:vMerge w:val="restart"/>
            <w:tcBorders>
              <w:top w:val="single" w:color="000000" w:sz="2" w:space="0"/>
              <w:bottom w:val="nil"/>
            </w:tcBorders>
            <w:vAlign w:val="top"/>
          </w:tcPr>
          <w:p w14:paraId="504C60EB">
            <w:pPr>
              <w:spacing w:before="323" w:line="207" w:lineRule="auto"/>
              <w:ind w:left="1153"/>
              <w:rPr>
                <w:rFonts w:ascii="微软雅黑" w:hAnsi="微软雅黑" w:eastAsia="微软雅黑" w:cs="微软雅黑"/>
                <w:sz w:val="20"/>
                <w:szCs w:val="20"/>
              </w:rPr>
            </w:pPr>
            <w:r>
              <w:rPr>
                <w:rFonts w:ascii="微软雅黑" w:hAnsi="微软雅黑" w:eastAsia="微软雅黑" w:cs="微软雅黑"/>
                <w:b/>
                <w:bCs/>
                <w:spacing w:val="9"/>
                <w:sz w:val="20"/>
                <w:szCs w:val="20"/>
              </w:rPr>
              <w:t>工作单位及职务</w:t>
            </w:r>
          </w:p>
        </w:tc>
        <w:tc>
          <w:tcPr>
            <w:tcW w:w="3073" w:type="dxa"/>
            <w:gridSpan w:val="2"/>
            <w:tcBorders>
              <w:top w:val="single" w:color="000000" w:sz="2" w:space="0"/>
              <w:right w:val="single" w:color="000000" w:sz="2" w:space="0"/>
            </w:tcBorders>
            <w:vAlign w:val="top"/>
          </w:tcPr>
          <w:p w14:paraId="237F1F20">
            <w:pPr>
              <w:spacing w:before="155" w:line="208" w:lineRule="auto"/>
              <w:ind w:left="1116"/>
              <w:rPr>
                <w:rFonts w:ascii="微软雅黑" w:hAnsi="微软雅黑" w:eastAsia="微软雅黑" w:cs="微软雅黑"/>
                <w:sz w:val="20"/>
                <w:szCs w:val="20"/>
              </w:rPr>
            </w:pPr>
            <w:r>
              <w:rPr>
                <w:rFonts w:ascii="微软雅黑" w:hAnsi="微软雅黑" w:eastAsia="微软雅黑" w:cs="微软雅黑"/>
                <w:b/>
                <w:bCs/>
                <w:spacing w:val="9"/>
                <w:sz w:val="20"/>
                <w:szCs w:val="20"/>
              </w:rPr>
              <w:t>联系方式</w:t>
            </w:r>
          </w:p>
        </w:tc>
      </w:tr>
      <w:tr w14:paraId="1DA32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52" w:type="dxa"/>
            <w:vMerge w:val="continue"/>
            <w:tcBorders>
              <w:top w:val="nil"/>
              <w:left w:val="single" w:color="000000" w:sz="2" w:space="0"/>
            </w:tcBorders>
            <w:vAlign w:val="top"/>
          </w:tcPr>
          <w:p w14:paraId="777853AA">
            <w:pPr>
              <w:rPr>
                <w:rFonts w:ascii="Arial"/>
                <w:sz w:val="21"/>
              </w:rPr>
            </w:pPr>
          </w:p>
        </w:tc>
        <w:tc>
          <w:tcPr>
            <w:tcW w:w="944" w:type="dxa"/>
            <w:vMerge w:val="continue"/>
            <w:tcBorders>
              <w:top w:val="nil"/>
            </w:tcBorders>
            <w:vAlign w:val="top"/>
          </w:tcPr>
          <w:p w14:paraId="5297CF42">
            <w:pPr>
              <w:rPr>
                <w:rFonts w:ascii="Arial"/>
                <w:sz w:val="21"/>
              </w:rPr>
            </w:pPr>
          </w:p>
        </w:tc>
        <w:tc>
          <w:tcPr>
            <w:tcW w:w="3778" w:type="dxa"/>
            <w:vMerge w:val="continue"/>
            <w:tcBorders>
              <w:top w:val="nil"/>
            </w:tcBorders>
            <w:vAlign w:val="top"/>
          </w:tcPr>
          <w:p w14:paraId="2CD6FB25">
            <w:pPr>
              <w:rPr>
                <w:rFonts w:ascii="Arial"/>
                <w:sz w:val="21"/>
              </w:rPr>
            </w:pPr>
          </w:p>
        </w:tc>
        <w:tc>
          <w:tcPr>
            <w:tcW w:w="1364" w:type="dxa"/>
            <w:vAlign w:val="top"/>
          </w:tcPr>
          <w:p w14:paraId="690061D9">
            <w:pPr>
              <w:spacing w:before="66" w:line="174" w:lineRule="auto"/>
              <w:ind w:left="159"/>
              <w:rPr>
                <w:rFonts w:ascii="微软雅黑" w:hAnsi="微软雅黑" w:eastAsia="微软雅黑" w:cs="微软雅黑"/>
                <w:sz w:val="20"/>
                <w:szCs w:val="20"/>
              </w:rPr>
            </w:pPr>
            <w:r>
              <w:rPr>
                <w:rFonts w:ascii="微软雅黑" w:hAnsi="微软雅黑" w:eastAsia="微软雅黑" w:cs="微软雅黑"/>
                <w:b/>
                <w:bCs/>
                <w:spacing w:val="8"/>
                <w:sz w:val="20"/>
                <w:szCs w:val="20"/>
              </w:rPr>
              <w:t>办公室电话</w:t>
            </w:r>
          </w:p>
        </w:tc>
        <w:tc>
          <w:tcPr>
            <w:tcW w:w="1709" w:type="dxa"/>
            <w:tcBorders>
              <w:right w:val="single" w:color="000000" w:sz="2" w:space="0"/>
            </w:tcBorders>
            <w:vAlign w:val="top"/>
          </w:tcPr>
          <w:p w14:paraId="2C781A5F">
            <w:pPr>
              <w:spacing w:before="66" w:line="174" w:lineRule="auto"/>
              <w:ind w:left="540"/>
              <w:rPr>
                <w:rFonts w:ascii="微软雅黑" w:hAnsi="微软雅黑" w:eastAsia="微软雅黑" w:cs="微软雅黑"/>
                <w:sz w:val="20"/>
                <w:szCs w:val="20"/>
              </w:rPr>
            </w:pPr>
            <w:r>
              <w:rPr>
                <w:rFonts w:ascii="微软雅黑" w:hAnsi="微软雅黑" w:eastAsia="微软雅黑" w:cs="微软雅黑"/>
                <w:b/>
                <w:bCs/>
                <w:spacing w:val="3"/>
                <w:sz w:val="20"/>
                <w:szCs w:val="20"/>
              </w:rPr>
              <w:t>手机</w:t>
            </w:r>
          </w:p>
        </w:tc>
      </w:tr>
      <w:tr w14:paraId="5017F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952" w:type="dxa"/>
            <w:tcBorders>
              <w:left w:val="single" w:color="000000" w:sz="2" w:space="0"/>
            </w:tcBorders>
            <w:vAlign w:val="center"/>
          </w:tcPr>
          <w:p w14:paraId="1A85A40C">
            <w:pPr>
              <w:pStyle w:val="12"/>
              <w:spacing w:before="122" w:line="225" w:lineRule="auto"/>
              <w:ind w:left="181"/>
              <w:jc w:val="center"/>
            </w:pPr>
            <w:r>
              <w:rPr>
                <w:spacing w:val="2"/>
              </w:rPr>
              <w:t>总指挥</w:t>
            </w:r>
          </w:p>
        </w:tc>
        <w:tc>
          <w:tcPr>
            <w:tcW w:w="944" w:type="dxa"/>
            <w:vAlign w:val="center"/>
          </w:tcPr>
          <w:p w14:paraId="4B23219C">
            <w:pPr>
              <w:pStyle w:val="12"/>
              <w:spacing w:before="122" w:line="225" w:lineRule="auto"/>
              <w:ind w:firstLine="200" w:firstLineChars="100"/>
              <w:jc w:val="both"/>
              <w:rPr>
                <w:rFonts w:hint="default" w:eastAsia="仿宋"/>
                <w:lang w:val="en-US" w:eastAsia="zh-CN"/>
              </w:rPr>
            </w:pPr>
            <w:r>
              <w:rPr>
                <w:rFonts w:hint="eastAsia"/>
                <w:lang w:val="en-US" w:eastAsia="zh-CN"/>
              </w:rPr>
              <w:t>张玉宝</w:t>
            </w:r>
          </w:p>
        </w:tc>
        <w:tc>
          <w:tcPr>
            <w:tcW w:w="3778" w:type="dxa"/>
            <w:vAlign w:val="center"/>
          </w:tcPr>
          <w:p w14:paraId="4DBEE4B2">
            <w:pPr>
              <w:pStyle w:val="12"/>
              <w:spacing w:before="122" w:line="226" w:lineRule="auto"/>
              <w:ind w:left="138"/>
              <w:jc w:val="left"/>
            </w:pPr>
            <w:r>
              <w:rPr>
                <w:rFonts w:hint="eastAsia"/>
                <w:lang w:val="en-US" w:eastAsia="zh-CN"/>
              </w:rPr>
              <w:t>区政府党组成员、张掖国家现代农业试验示范区党工委委员、管委会副主任</w:t>
            </w:r>
          </w:p>
        </w:tc>
        <w:tc>
          <w:tcPr>
            <w:tcW w:w="1364" w:type="dxa"/>
            <w:vAlign w:val="center"/>
          </w:tcPr>
          <w:p w14:paraId="09F59B5C">
            <w:pPr>
              <w:pStyle w:val="12"/>
              <w:spacing w:before="122" w:line="264" w:lineRule="exact"/>
              <w:ind w:left="328"/>
              <w:jc w:val="both"/>
              <w:rPr>
                <w:rFonts w:hint="default" w:eastAsia="仿宋"/>
                <w:lang w:val="en-US" w:eastAsia="zh-CN"/>
              </w:rPr>
            </w:pPr>
            <w:r>
              <w:rPr>
                <w:rFonts w:hint="eastAsia"/>
                <w:lang w:val="en-US" w:eastAsia="zh-CN"/>
              </w:rPr>
              <w:t>8215593</w:t>
            </w:r>
          </w:p>
        </w:tc>
        <w:tc>
          <w:tcPr>
            <w:tcW w:w="1709" w:type="dxa"/>
            <w:tcBorders>
              <w:right w:val="single" w:color="000000" w:sz="2" w:space="0"/>
            </w:tcBorders>
            <w:vAlign w:val="center"/>
          </w:tcPr>
          <w:p w14:paraId="26D47AD6">
            <w:pPr>
              <w:pStyle w:val="12"/>
              <w:spacing w:before="123" w:line="265" w:lineRule="exact"/>
              <w:ind w:left="292"/>
              <w:jc w:val="both"/>
              <w:rPr>
                <w:rFonts w:hint="default" w:ascii="Arial" w:eastAsiaTheme="minorEastAsia"/>
                <w:sz w:val="21"/>
                <w:lang w:val="en-US" w:eastAsia="zh-CN"/>
              </w:rPr>
            </w:pPr>
            <w:r>
              <w:rPr>
                <w:rFonts w:hint="eastAsia"/>
                <w:lang w:val="en-US" w:eastAsia="zh-CN"/>
              </w:rPr>
              <w:t>13830691802</w:t>
            </w:r>
          </w:p>
        </w:tc>
      </w:tr>
      <w:tr w14:paraId="3CCF3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restart"/>
            <w:tcBorders>
              <w:left w:val="single" w:color="000000" w:sz="2" w:space="0"/>
              <w:bottom w:val="nil"/>
            </w:tcBorders>
            <w:vAlign w:val="top"/>
          </w:tcPr>
          <w:p w14:paraId="02BA04D1">
            <w:pPr>
              <w:spacing w:line="326" w:lineRule="auto"/>
              <w:rPr>
                <w:rFonts w:ascii="Arial"/>
                <w:sz w:val="21"/>
              </w:rPr>
            </w:pPr>
          </w:p>
          <w:p w14:paraId="4261A77C">
            <w:pPr>
              <w:pStyle w:val="12"/>
              <w:spacing w:before="65" w:line="295" w:lineRule="auto"/>
              <w:ind w:left="273" w:right="263" w:firstLine="15"/>
              <w:rPr>
                <w:rFonts w:hint="eastAsia" w:eastAsia="仿宋"/>
                <w:lang w:val="en-US" w:eastAsia="zh-CN"/>
              </w:rPr>
            </w:pPr>
            <w:r>
              <w:rPr>
                <w:spacing w:val="-5"/>
              </w:rPr>
              <w:t>副总</w:t>
            </w:r>
            <w:r>
              <w:rPr>
                <w:rFonts w:hint="eastAsia"/>
                <w:spacing w:val="-5"/>
                <w:lang w:val="en-US" w:eastAsia="zh-CN"/>
              </w:rPr>
              <w:t>指挥</w:t>
            </w:r>
          </w:p>
        </w:tc>
        <w:tc>
          <w:tcPr>
            <w:tcW w:w="944" w:type="dxa"/>
            <w:vAlign w:val="top"/>
          </w:tcPr>
          <w:p w14:paraId="4676071F">
            <w:pPr>
              <w:pStyle w:val="12"/>
              <w:spacing w:before="122" w:line="225" w:lineRule="auto"/>
              <w:ind w:firstLine="200" w:firstLineChars="100"/>
              <w:jc w:val="both"/>
              <w:rPr>
                <w:rFonts w:hint="eastAsia"/>
                <w:lang w:val="en-US" w:eastAsia="zh-CN"/>
              </w:rPr>
            </w:pPr>
            <w:r>
              <w:rPr>
                <w:rFonts w:hint="eastAsia"/>
                <w:lang w:val="en-US" w:eastAsia="zh-CN"/>
              </w:rPr>
              <w:t>宋福涛</w:t>
            </w:r>
          </w:p>
        </w:tc>
        <w:tc>
          <w:tcPr>
            <w:tcW w:w="3778" w:type="dxa"/>
            <w:vAlign w:val="top"/>
          </w:tcPr>
          <w:p w14:paraId="757A2195">
            <w:pPr>
              <w:pStyle w:val="12"/>
              <w:spacing w:before="124" w:line="225" w:lineRule="auto"/>
              <w:ind w:left="119"/>
            </w:pPr>
            <w:r>
              <w:rPr>
                <w:rFonts w:hint="eastAsia"/>
                <w:lang w:val="en-US" w:eastAsia="zh-CN"/>
              </w:rPr>
              <w:t>区政府机关党组书记、办公室主任</w:t>
            </w:r>
          </w:p>
        </w:tc>
        <w:tc>
          <w:tcPr>
            <w:tcW w:w="1364" w:type="dxa"/>
            <w:vAlign w:val="top"/>
          </w:tcPr>
          <w:p w14:paraId="26E51897">
            <w:pPr>
              <w:pStyle w:val="12"/>
              <w:spacing w:before="123" w:line="265" w:lineRule="exact"/>
              <w:ind w:left="328"/>
            </w:pPr>
            <w:r>
              <w:rPr>
                <w:spacing w:val="2"/>
                <w:position w:val="1"/>
              </w:rPr>
              <w:t>8213334</w:t>
            </w:r>
          </w:p>
        </w:tc>
        <w:tc>
          <w:tcPr>
            <w:tcW w:w="1709" w:type="dxa"/>
            <w:tcBorders>
              <w:top w:val="single" w:color="000000" w:sz="4" w:space="0"/>
              <w:left w:val="single" w:color="000000" w:sz="4" w:space="0"/>
              <w:bottom w:val="single" w:color="000000" w:sz="4" w:space="0"/>
              <w:right w:val="single" w:color="000000" w:sz="2" w:space="0"/>
            </w:tcBorders>
            <w:vAlign w:val="top"/>
          </w:tcPr>
          <w:p w14:paraId="7F489A47">
            <w:pPr>
              <w:pStyle w:val="12"/>
              <w:spacing w:before="123" w:line="265" w:lineRule="exact"/>
              <w:ind w:left="292"/>
              <w:rPr>
                <w:rFonts w:hint="default"/>
                <w:lang w:val="en-US" w:eastAsia="zh-CN"/>
              </w:rPr>
            </w:pPr>
            <w:r>
              <w:rPr>
                <w:rFonts w:hint="eastAsia"/>
                <w:lang w:val="en-US" w:eastAsia="zh-CN"/>
              </w:rPr>
              <w:t>13909366899</w:t>
            </w:r>
          </w:p>
        </w:tc>
      </w:tr>
      <w:tr w14:paraId="1D983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nil"/>
              <w:left w:val="single" w:color="000000" w:sz="2" w:space="0"/>
              <w:bottom w:val="nil"/>
            </w:tcBorders>
            <w:vAlign w:val="top"/>
          </w:tcPr>
          <w:p w14:paraId="1A314DEE">
            <w:pPr>
              <w:rPr>
                <w:rFonts w:ascii="Arial"/>
                <w:sz w:val="21"/>
              </w:rPr>
            </w:pPr>
          </w:p>
        </w:tc>
        <w:tc>
          <w:tcPr>
            <w:tcW w:w="944" w:type="dxa"/>
            <w:vAlign w:val="top"/>
          </w:tcPr>
          <w:p w14:paraId="44BC0BD9">
            <w:pPr>
              <w:pStyle w:val="12"/>
              <w:spacing w:before="122" w:line="225" w:lineRule="auto"/>
              <w:ind w:firstLine="200" w:firstLineChars="100"/>
              <w:jc w:val="both"/>
              <w:rPr>
                <w:rFonts w:hint="default"/>
                <w:lang w:val="en-US" w:eastAsia="zh-CN"/>
              </w:rPr>
            </w:pPr>
            <w:r>
              <w:rPr>
                <w:rFonts w:hint="eastAsia"/>
                <w:lang w:val="en-US" w:eastAsia="zh-CN"/>
              </w:rPr>
              <w:t>李  煜</w:t>
            </w:r>
          </w:p>
        </w:tc>
        <w:tc>
          <w:tcPr>
            <w:tcW w:w="3778" w:type="dxa"/>
            <w:vAlign w:val="top"/>
          </w:tcPr>
          <w:p w14:paraId="4133944E">
            <w:pPr>
              <w:pStyle w:val="12"/>
              <w:spacing w:before="124" w:line="225" w:lineRule="auto"/>
              <w:ind w:left="138"/>
              <w:rPr>
                <w:rFonts w:hint="default" w:eastAsia="仿宋"/>
                <w:lang w:val="en-US" w:eastAsia="zh-CN"/>
              </w:rPr>
            </w:pPr>
            <w:r>
              <w:rPr>
                <w:spacing w:val="8"/>
              </w:rPr>
              <w:t>市生态环境局甘州分局局长</w:t>
            </w:r>
          </w:p>
        </w:tc>
        <w:tc>
          <w:tcPr>
            <w:tcW w:w="1364" w:type="dxa"/>
            <w:vAlign w:val="top"/>
          </w:tcPr>
          <w:p w14:paraId="7E29E68F">
            <w:pPr>
              <w:pStyle w:val="12"/>
              <w:spacing w:before="102" w:line="265" w:lineRule="exact"/>
              <w:ind w:left="328"/>
              <w:rPr>
                <w:rFonts w:hint="default" w:eastAsia="仿宋"/>
                <w:lang w:val="en-US" w:eastAsia="zh-CN"/>
              </w:rPr>
            </w:pPr>
            <w:r>
              <w:rPr>
                <w:rFonts w:hint="eastAsia"/>
                <w:lang w:val="en-US" w:eastAsia="zh-CN"/>
              </w:rPr>
              <w:t>8215593</w:t>
            </w:r>
          </w:p>
        </w:tc>
        <w:tc>
          <w:tcPr>
            <w:tcW w:w="1709" w:type="dxa"/>
            <w:tcBorders>
              <w:top w:val="single" w:color="000000" w:sz="4" w:space="0"/>
              <w:left w:val="single" w:color="000000" w:sz="4" w:space="0"/>
              <w:bottom w:val="single" w:color="000000" w:sz="4" w:space="0"/>
              <w:right w:val="single" w:color="000000" w:sz="2" w:space="0"/>
            </w:tcBorders>
            <w:vAlign w:val="top"/>
          </w:tcPr>
          <w:p w14:paraId="0CB7C447">
            <w:pPr>
              <w:pStyle w:val="12"/>
              <w:spacing w:before="123" w:line="265" w:lineRule="exact"/>
              <w:ind w:left="292"/>
              <w:rPr>
                <w:rFonts w:hint="default"/>
                <w:lang w:val="en-US" w:eastAsia="zh-CN"/>
              </w:rPr>
            </w:pPr>
            <w:r>
              <w:rPr>
                <w:rFonts w:hint="eastAsia"/>
                <w:lang w:val="en-US" w:eastAsia="zh-CN"/>
              </w:rPr>
              <w:t>13830691802</w:t>
            </w:r>
          </w:p>
        </w:tc>
      </w:tr>
      <w:tr w14:paraId="48EE1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952" w:type="dxa"/>
            <w:vMerge w:val="continue"/>
            <w:tcBorders>
              <w:top w:val="nil"/>
              <w:left w:val="single" w:color="000000" w:sz="2" w:space="0"/>
              <w:bottom w:val="single" w:color="auto" w:sz="4" w:space="0"/>
            </w:tcBorders>
            <w:vAlign w:val="top"/>
          </w:tcPr>
          <w:p w14:paraId="40BF0CB8">
            <w:pPr>
              <w:rPr>
                <w:rFonts w:ascii="Arial"/>
                <w:sz w:val="21"/>
              </w:rPr>
            </w:pPr>
          </w:p>
        </w:tc>
        <w:tc>
          <w:tcPr>
            <w:tcW w:w="944" w:type="dxa"/>
            <w:vAlign w:val="top"/>
          </w:tcPr>
          <w:p w14:paraId="22585EB6">
            <w:pPr>
              <w:pStyle w:val="12"/>
              <w:spacing w:before="122" w:line="225" w:lineRule="auto"/>
              <w:ind w:firstLine="200" w:firstLineChars="100"/>
              <w:jc w:val="both"/>
              <w:rPr>
                <w:rFonts w:hint="eastAsia"/>
                <w:lang w:val="en-US" w:eastAsia="zh-CN"/>
              </w:rPr>
            </w:pPr>
            <w:r>
              <w:rPr>
                <w:rFonts w:hint="eastAsia"/>
                <w:lang w:val="en-US" w:eastAsia="zh-CN"/>
              </w:rPr>
              <w:t>贾小龙</w:t>
            </w:r>
          </w:p>
        </w:tc>
        <w:tc>
          <w:tcPr>
            <w:tcW w:w="3778" w:type="dxa"/>
            <w:vAlign w:val="top"/>
          </w:tcPr>
          <w:p w14:paraId="54323A58">
            <w:pPr>
              <w:pStyle w:val="12"/>
              <w:spacing w:before="103" w:line="226" w:lineRule="auto"/>
              <w:ind w:left="138"/>
            </w:pPr>
            <w:r>
              <w:rPr>
                <w:spacing w:val="3"/>
              </w:rPr>
              <w:t>区气象局局长</w:t>
            </w:r>
          </w:p>
        </w:tc>
        <w:tc>
          <w:tcPr>
            <w:tcW w:w="1364" w:type="dxa"/>
            <w:vAlign w:val="top"/>
          </w:tcPr>
          <w:p w14:paraId="53170F4F">
            <w:pPr>
              <w:pStyle w:val="12"/>
              <w:spacing w:before="103" w:line="264" w:lineRule="exact"/>
              <w:ind w:left="328"/>
              <w:rPr>
                <w:rFonts w:hint="default" w:eastAsia="仿宋"/>
                <w:lang w:val="en-US" w:eastAsia="zh-CN"/>
              </w:rPr>
            </w:pPr>
            <w:r>
              <w:rPr>
                <w:spacing w:val="2"/>
                <w:position w:val="1"/>
              </w:rPr>
              <w:t>829</w:t>
            </w:r>
            <w:r>
              <w:rPr>
                <w:rFonts w:hint="eastAsia"/>
                <w:spacing w:val="2"/>
                <w:position w:val="1"/>
                <w:lang w:val="en-US" w:eastAsia="zh-CN"/>
              </w:rPr>
              <w:t>3831</w:t>
            </w:r>
          </w:p>
        </w:tc>
        <w:tc>
          <w:tcPr>
            <w:tcW w:w="1709" w:type="dxa"/>
            <w:tcBorders>
              <w:top w:val="single" w:color="000000" w:sz="4" w:space="0"/>
              <w:left w:val="single" w:color="000000" w:sz="4" w:space="0"/>
              <w:bottom w:val="single" w:color="000000" w:sz="4" w:space="0"/>
              <w:right w:val="single" w:color="000000" w:sz="2" w:space="0"/>
            </w:tcBorders>
            <w:shd w:val="clear" w:color="auto" w:fill="auto"/>
            <w:vAlign w:val="top"/>
          </w:tcPr>
          <w:p w14:paraId="314076FC">
            <w:pPr>
              <w:pStyle w:val="12"/>
              <w:spacing w:before="123" w:line="265" w:lineRule="exact"/>
              <w:ind w:left="292"/>
              <w:rPr>
                <w:rFonts w:hint="default"/>
                <w:lang w:val="en-US" w:eastAsia="zh-CN"/>
              </w:rPr>
            </w:pPr>
            <w:r>
              <w:rPr>
                <w:rFonts w:hint="default"/>
                <w:lang w:val="en-US" w:eastAsia="zh-CN"/>
              </w:rPr>
              <w:t>13830621789</w:t>
            </w:r>
          </w:p>
        </w:tc>
      </w:tr>
      <w:tr w14:paraId="0108A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restart"/>
            <w:tcBorders>
              <w:top w:val="single" w:color="auto" w:sz="4" w:space="0"/>
              <w:left w:val="single" w:color="auto" w:sz="4" w:space="0"/>
              <w:bottom w:val="single" w:color="auto" w:sz="4" w:space="0"/>
              <w:right w:val="single" w:color="auto" w:sz="4" w:space="0"/>
            </w:tcBorders>
            <w:vAlign w:val="top"/>
          </w:tcPr>
          <w:p w14:paraId="41B8605C">
            <w:pPr>
              <w:rPr>
                <w:rFonts w:ascii="Arial"/>
                <w:sz w:val="21"/>
              </w:rPr>
            </w:pPr>
          </w:p>
        </w:tc>
        <w:tc>
          <w:tcPr>
            <w:tcW w:w="944" w:type="dxa"/>
            <w:tcBorders>
              <w:left w:val="single" w:color="auto" w:sz="4" w:space="0"/>
            </w:tcBorders>
            <w:vAlign w:val="top"/>
          </w:tcPr>
          <w:p w14:paraId="22BB0601">
            <w:pPr>
              <w:pStyle w:val="12"/>
              <w:spacing w:before="122" w:line="225" w:lineRule="auto"/>
              <w:ind w:firstLine="200" w:firstLineChars="100"/>
              <w:jc w:val="both"/>
              <w:rPr>
                <w:rFonts w:hint="default"/>
                <w:lang w:val="en-US" w:eastAsia="zh-CN"/>
              </w:rPr>
            </w:pPr>
            <w:r>
              <w:rPr>
                <w:rFonts w:hint="eastAsia"/>
                <w:lang w:val="en-US" w:eastAsia="zh-CN"/>
              </w:rPr>
              <w:t>张明虎</w:t>
            </w:r>
          </w:p>
        </w:tc>
        <w:tc>
          <w:tcPr>
            <w:tcW w:w="3778" w:type="dxa"/>
            <w:vAlign w:val="top"/>
          </w:tcPr>
          <w:p w14:paraId="412F4436">
            <w:pPr>
              <w:pStyle w:val="12"/>
              <w:spacing w:before="101" w:line="231" w:lineRule="auto"/>
              <w:ind w:left="133"/>
            </w:pPr>
            <w:r>
              <w:rPr>
                <w:spacing w:val="1"/>
              </w:rPr>
              <w:t>区城市管理局局长</w:t>
            </w:r>
          </w:p>
        </w:tc>
        <w:tc>
          <w:tcPr>
            <w:tcW w:w="1364" w:type="dxa"/>
            <w:vAlign w:val="top"/>
          </w:tcPr>
          <w:p w14:paraId="7DA2222E">
            <w:pPr>
              <w:pStyle w:val="12"/>
              <w:spacing w:before="102" w:line="265" w:lineRule="exact"/>
              <w:ind w:left="328"/>
            </w:pPr>
            <w:r>
              <w:rPr>
                <w:spacing w:val="2"/>
                <w:position w:val="1"/>
              </w:rPr>
              <w:t>8227426</w:t>
            </w:r>
          </w:p>
        </w:tc>
        <w:tc>
          <w:tcPr>
            <w:tcW w:w="1709" w:type="dxa"/>
            <w:tcBorders>
              <w:top w:val="single" w:color="000000" w:sz="4" w:space="0"/>
              <w:left w:val="single" w:color="000000" w:sz="4" w:space="0"/>
              <w:bottom w:val="single" w:color="000000" w:sz="4" w:space="0"/>
              <w:right w:val="single" w:color="000000" w:sz="2" w:space="0"/>
            </w:tcBorders>
            <w:shd w:val="clear" w:color="auto" w:fill="auto"/>
            <w:vAlign w:val="center"/>
          </w:tcPr>
          <w:p w14:paraId="04B6CEDB">
            <w:pPr>
              <w:pStyle w:val="12"/>
              <w:spacing w:before="123" w:line="265" w:lineRule="exact"/>
              <w:ind w:left="292"/>
              <w:rPr>
                <w:rFonts w:hint="eastAsia"/>
                <w:lang w:val="en-US" w:eastAsia="zh-CN"/>
              </w:rPr>
            </w:pPr>
            <w:r>
              <w:rPr>
                <w:rFonts w:hint="default"/>
                <w:lang w:val="en-US" w:eastAsia="zh-CN"/>
              </w:rPr>
              <w:t>13809366090</w:t>
            </w:r>
          </w:p>
        </w:tc>
      </w:tr>
      <w:tr w14:paraId="120F2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8"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40276A5A">
            <w:pPr>
              <w:rPr>
                <w:rFonts w:ascii="Arial"/>
                <w:sz w:val="21"/>
              </w:rPr>
            </w:pPr>
          </w:p>
        </w:tc>
        <w:tc>
          <w:tcPr>
            <w:tcW w:w="944" w:type="dxa"/>
            <w:tcBorders>
              <w:left w:val="single" w:color="auto" w:sz="4" w:space="0"/>
            </w:tcBorders>
            <w:vAlign w:val="top"/>
          </w:tcPr>
          <w:p w14:paraId="13471D35">
            <w:pPr>
              <w:pStyle w:val="12"/>
              <w:spacing w:before="122" w:line="225" w:lineRule="auto"/>
              <w:ind w:firstLine="200" w:firstLineChars="100"/>
              <w:jc w:val="both"/>
              <w:rPr>
                <w:rFonts w:hint="default"/>
                <w:lang w:val="en-US" w:eastAsia="zh-CN"/>
              </w:rPr>
            </w:pPr>
            <w:r>
              <w:rPr>
                <w:rFonts w:hint="eastAsia"/>
                <w:lang w:val="en-US" w:eastAsia="zh-CN"/>
              </w:rPr>
              <w:t>潘万雄</w:t>
            </w:r>
          </w:p>
        </w:tc>
        <w:tc>
          <w:tcPr>
            <w:tcW w:w="3778" w:type="dxa"/>
            <w:vAlign w:val="top"/>
          </w:tcPr>
          <w:p w14:paraId="742D7C59">
            <w:pPr>
              <w:pStyle w:val="12"/>
              <w:spacing w:before="103" w:line="225" w:lineRule="auto"/>
              <w:ind w:left="138"/>
            </w:pPr>
            <w:r>
              <w:rPr>
                <w:spacing w:val="4"/>
              </w:rPr>
              <w:t>区卫生健康局局长</w:t>
            </w:r>
          </w:p>
        </w:tc>
        <w:tc>
          <w:tcPr>
            <w:tcW w:w="1364" w:type="dxa"/>
            <w:vAlign w:val="top"/>
          </w:tcPr>
          <w:p w14:paraId="2E00741C">
            <w:pPr>
              <w:pStyle w:val="12"/>
              <w:spacing w:before="103" w:line="264" w:lineRule="exact"/>
              <w:ind w:left="328"/>
            </w:pPr>
            <w:r>
              <w:rPr>
                <w:spacing w:val="2"/>
                <w:position w:val="1"/>
              </w:rPr>
              <w:t>8212014</w:t>
            </w:r>
          </w:p>
        </w:tc>
        <w:tc>
          <w:tcPr>
            <w:tcW w:w="1709" w:type="dxa"/>
            <w:tcBorders>
              <w:top w:val="single" w:color="000000" w:sz="4" w:space="0"/>
              <w:left w:val="single" w:color="000000" w:sz="4" w:space="0"/>
              <w:bottom w:val="single" w:color="000000" w:sz="4" w:space="0"/>
              <w:right w:val="single" w:color="000000" w:sz="2" w:space="0"/>
            </w:tcBorders>
            <w:shd w:val="clear" w:color="auto" w:fill="FFFFFF"/>
            <w:vAlign w:val="center"/>
          </w:tcPr>
          <w:p w14:paraId="6563F1ED">
            <w:pPr>
              <w:pStyle w:val="12"/>
              <w:spacing w:before="123" w:line="265" w:lineRule="exact"/>
              <w:ind w:left="292"/>
              <w:rPr>
                <w:rFonts w:hint="eastAsia"/>
                <w:lang w:val="en-US" w:eastAsia="zh-CN"/>
              </w:rPr>
            </w:pPr>
            <w:r>
              <w:rPr>
                <w:rFonts w:hint="default"/>
                <w:lang w:val="en-US" w:eastAsia="zh-CN"/>
              </w:rPr>
              <w:t>18993613258</w:t>
            </w:r>
          </w:p>
        </w:tc>
      </w:tr>
      <w:tr w14:paraId="4345A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65A6D79F">
            <w:pPr>
              <w:rPr>
                <w:rFonts w:ascii="Arial"/>
                <w:sz w:val="21"/>
              </w:rPr>
            </w:pPr>
          </w:p>
        </w:tc>
        <w:tc>
          <w:tcPr>
            <w:tcW w:w="944" w:type="dxa"/>
            <w:tcBorders>
              <w:left w:val="single" w:color="auto" w:sz="4" w:space="0"/>
            </w:tcBorders>
            <w:vAlign w:val="top"/>
          </w:tcPr>
          <w:p w14:paraId="01BA04A8">
            <w:pPr>
              <w:pStyle w:val="12"/>
              <w:spacing w:before="122" w:line="225" w:lineRule="auto"/>
              <w:ind w:firstLine="200" w:firstLineChars="100"/>
              <w:jc w:val="both"/>
              <w:rPr>
                <w:rFonts w:hint="default"/>
                <w:lang w:val="en-US" w:eastAsia="zh-CN"/>
              </w:rPr>
            </w:pPr>
            <w:r>
              <w:rPr>
                <w:rFonts w:hint="eastAsia"/>
                <w:lang w:val="en-US" w:eastAsia="zh-CN"/>
              </w:rPr>
              <w:t>陈大锋</w:t>
            </w:r>
          </w:p>
        </w:tc>
        <w:tc>
          <w:tcPr>
            <w:tcW w:w="3778" w:type="dxa"/>
            <w:vAlign w:val="top"/>
          </w:tcPr>
          <w:p w14:paraId="04DD23A1">
            <w:pPr>
              <w:pStyle w:val="12"/>
              <w:spacing w:before="104" w:line="225" w:lineRule="auto"/>
              <w:ind w:left="138"/>
              <w:rPr>
                <w:rFonts w:hint="default" w:eastAsia="仿宋"/>
                <w:lang w:val="en-US" w:eastAsia="zh-CN"/>
              </w:rPr>
            </w:pPr>
            <w:r>
              <w:rPr>
                <w:spacing w:val="4"/>
              </w:rPr>
              <w:t>区委宣传部</w:t>
            </w:r>
            <w:r>
              <w:rPr>
                <w:rFonts w:hint="eastAsia"/>
                <w:spacing w:val="4"/>
                <w:lang w:val="en-US" w:eastAsia="zh-CN"/>
              </w:rPr>
              <w:t>副</w:t>
            </w:r>
            <w:r>
              <w:rPr>
                <w:spacing w:val="4"/>
              </w:rPr>
              <w:t>部长</w:t>
            </w:r>
            <w:r>
              <w:rPr>
                <w:rFonts w:hint="eastAsia"/>
                <w:spacing w:val="4"/>
                <w:lang w:eastAsia="zh-CN"/>
              </w:rPr>
              <w:t>、</w:t>
            </w:r>
            <w:r>
              <w:rPr>
                <w:rFonts w:hint="eastAsia"/>
                <w:spacing w:val="4"/>
                <w:lang w:val="en-US" w:eastAsia="zh-CN"/>
              </w:rPr>
              <w:t>网信办主任</w:t>
            </w:r>
          </w:p>
        </w:tc>
        <w:tc>
          <w:tcPr>
            <w:tcW w:w="1364" w:type="dxa"/>
            <w:vAlign w:val="top"/>
          </w:tcPr>
          <w:p w14:paraId="02B684BA">
            <w:pPr>
              <w:pStyle w:val="12"/>
              <w:spacing w:before="104" w:line="265" w:lineRule="exact"/>
              <w:ind w:left="328"/>
            </w:pPr>
            <w:r>
              <w:rPr>
                <w:spacing w:val="2"/>
                <w:position w:val="1"/>
              </w:rPr>
              <w:t>8215134</w:t>
            </w:r>
          </w:p>
        </w:tc>
        <w:tc>
          <w:tcPr>
            <w:tcW w:w="1709" w:type="dxa"/>
            <w:tcBorders>
              <w:top w:val="single" w:color="000000" w:sz="4" w:space="0"/>
              <w:left w:val="single" w:color="000000" w:sz="4" w:space="0"/>
              <w:bottom w:val="single" w:color="000000" w:sz="4" w:space="0"/>
              <w:right w:val="single" w:color="000000" w:sz="2" w:space="0"/>
            </w:tcBorders>
            <w:shd w:val="clear" w:color="auto" w:fill="auto"/>
            <w:vAlign w:val="top"/>
          </w:tcPr>
          <w:p w14:paraId="623775CA">
            <w:pPr>
              <w:pStyle w:val="12"/>
              <w:spacing w:before="123" w:line="265" w:lineRule="exact"/>
              <w:ind w:left="292"/>
              <w:rPr>
                <w:rFonts w:hint="eastAsia"/>
                <w:lang w:val="en-US" w:eastAsia="zh-CN"/>
              </w:rPr>
            </w:pPr>
            <w:r>
              <w:rPr>
                <w:rFonts w:hint="eastAsia"/>
                <w:lang w:val="en-US" w:eastAsia="zh-CN"/>
              </w:rPr>
              <w:t>13930646358</w:t>
            </w:r>
          </w:p>
        </w:tc>
      </w:tr>
      <w:tr w14:paraId="484EB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487564BC">
            <w:pPr>
              <w:rPr>
                <w:rFonts w:ascii="Arial"/>
                <w:sz w:val="21"/>
              </w:rPr>
            </w:pPr>
          </w:p>
        </w:tc>
        <w:tc>
          <w:tcPr>
            <w:tcW w:w="944" w:type="dxa"/>
            <w:tcBorders>
              <w:left w:val="single" w:color="auto" w:sz="4" w:space="0"/>
            </w:tcBorders>
            <w:vAlign w:val="top"/>
          </w:tcPr>
          <w:p w14:paraId="7ABD4278">
            <w:pPr>
              <w:pStyle w:val="12"/>
              <w:spacing w:before="122" w:line="225" w:lineRule="auto"/>
              <w:ind w:firstLine="200" w:firstLineChars="100"/>
              <w:jc w:val="both"/>
              <w:rPr>
                <w:rFonts w:hint="eastAsia"/>
                <w:lang w:val="en-US" w:eastAsia="zh-CN"/>
              </w:rPr>
            </w:pPr>
            <w:r>
              <w:rPr>
                <w:rFonts w:hint="eastAsia"/>
                <w:lang w:val="en-US" w:eastAsia="zh-CN"/>
              </w:rPr>
              <w:t>曹振国</w:t>
            </w:r>
          </w:p>
        </w:tc>
        <w:tc>
          <w:tcPr>
            <w:tcW w:w="3778" w:type="dxa"/>
            <w:vAlign w:val="top"/>
          </w:tcPr>
          <w:p w14:paraId="50C62890">
            <w:pPr>
              <w:pStyle w:val="12"/>
              <w:spacing w:before="124" w:line="225" w:lineRule="auto"/>
              <w:ind w:left="119"/>
            </w:pPr>
            <w:r>
              <w:rPr>
                <w:spacing w:val="8"/>
              </w:rPr>
              <w:t>市自然资源局甘州分局局长</w:t>
            </w:r>
          </w:p>
        </w:tc>
        <w:tc>
          <w:tcPr>
            <w:tcW w:w="1364" w:type="dxa"/>
            <w:vAlign w:val="top"/>
          </w:tcPr>
          <w:p w14:paraId="6BC28211">
            <w:pPr>
              <w:pStyle w:val="12"/>
              <w:spacing w:before="124" w:line="265" w:lineRule="exact"/>
              <w:ind w:left="328"/>
            </w:pPr>
            <w:r>
              <w:rPr>
                <w:spacing w:val="2"/>
                <w:position w:val="1"/>
              </w:rPr>
              <w:t>8215524</w:t>
            </w:r>
          </w:p>
        </w:tc>
        <w:tc>
          <w:tcPr>
            <w:tcW w:w="1709" w:type="dxa"/>
            <w:tcBorders>
              <w:top w:val="single" w:color="000000" w:sz="4" w:space="0"/>
              <w:left w:val="single" w:color="000000" w:sz="4" w:space="0"/>
              <w:bottom w:val="single" w:color="000000" w:sz="4" w:space="0"/>
              <w:right w:val="single" w:color="000000" w:sz="2" w:space="0"/>
            </w:tcBorders>
            <w:shd w:val="clear" w:color="auto" w:fill="auto"/>
            <w:vAlign w:val="center"/>
          </w:tcPr>
          <w:p w14:paraId="50272411">
            <w:pPr>
              <w:pStyle w:val="12"/>
              <w:spacing w:before="123" w:line="265" w:lineRule="exact"/>
              <w:ind w:left="292"/>
              <w:rPr>
                <w:rFonts w:hint="default"/>
                <w:lang w:val="en-US" w:eastAsia="zh-CN"/>
              </w:rPr>
            </w:pPr>
            <w:r>
              <w:rPr>
                <w:rFonts w:hint="default"/>
                <w:lang w:val="en-US" w:eastAsia="zh-CN"/>
              </w:rPr>
              <w:t>13830611200</w:t>
            </w:r>
          </w:p>
        </w:tc>
      </w:tr>
      <w:tr w14:paraId="5EF7F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2C9843EE">
            <w:pPr>
              <w:rPr>
                <w:rFonts w:ascii="Arial"/>
                <w:sz w:val="21"/>
              </w:rPr>
            </w:pPr>
          </w:p>
        </w:tc>
        <w:tc>
          <w:tcPr>
            <w:tcW w:w="944" w:type="dxa"/>
            <w:tcBorders>
              <w:left w:val="single" w:color="auto" w:sz="4" w:space="0"/>
            </w:tcBorders>
            <w:vAlign w:val="top"/>
          </w:tcPr>
          <w:p w14:paraId="1820C9C1">
            <w:pPr>
              <w:pStyle w:val="12"/>
              <w:spacing w:before="122" w:line="225" w:lineRule="auto"/>
              <w:ind w:firstLine="200" w:firstLineChars="100"/>
              <w:jc w:val="both"/>
              <w:rPr>
                <w:rFonts w:hint="eastAsia"/>
                <w:lang w:val="en-US" w:eastAsia="zh-CN"/>
              </w:rPr>
            </w:pPr>
            <w:r>
              <w:rPr>
                <w:rFonts w:hint="eastAsia"/>
                <w:lang w:val="en-US" w:eastAsia="zh-CN"/>
              </w:rPr>
              <w:t>胡  军</w:t>
            </w:r>
          </w:p>
        </w:tc>
        <w:tc>
          <w:tcPr>
            <w:tcW w:w="3778" w:type="dxa"/>
            <w:vAlign w:val="top"/>
          </w:tcPr>
          <w:p w14:paraId="55B0C2CF">
            <w:pPr>
              <w:pStyle w:val="12"/>
              <w:spacing w:before="103" w:line="225" w:lineRule="auto"/>
              <w:ind w:left="138"/>
            </w:pPr>
            <w:r>
              <w:rPr>
                <w:spacing w:val="5"/>
              </w:rPr>
              <w:t>区发展改革局局长</w:t>
            </w:r>
          </w:p>
        </w:tc>
        <w:tc>
          <w:tcPr>
            <w:tcW w:w="1364" w:type="dxa"/>
            <w:vAlign w:val="top"/>
          </w:tcPr>
          <w:p w14:paraId="3D1DD694">
            <w:pPr>
              <w:pStyle w:val="12"/>
              <w:spacing w:before="103" w:line="265" w:lineRule="exact"/>
              <w:ind w:left="329"/>
            </w:pPr>
            <w:r>
              <w:rPr>
                <w:spacing w:val="2"/>
                <w:position w:val="1"/>
              </w:rPr>
              <w:t>5997861</w:t>
            </w:r>
          </w:p>
        </w:tc>
        <w:tc>
          <w:tcPr>
            <w:tcW w:w="1709" w:type="dxa"/>
            <w:tcBorders>
              <w:top w:val="single" w:color="000000" w:sz="4" w:space="0"/>
              <w:left w:val="single" w:color="000000" w:sz="4" w:space="0"/>
              <w:bottom w:val="single" w:color="000000" w:sz="4" w:space="0"/>
              <w:right w:val="single" w:color="000000" w:sz="2" w:space="0"/>
            </w:tcBorders>
            <w:shd w:val="clear" w:color="auto" w:fill="auto"/>
            <w:vAlign w:val="center"/>
          </w:tcPr>
          <w:p w14:paraId="5EC036D2">
            <w:pPr>
              <w:pStyle w:val="12"/>
              <w:spacing w:before="123" w:line="265" w:lineRule="exact"/>
              <w:ind w:left="292"/>
              <w:rPr>
                <w:rFonts w:hint="eastAsia"/>
                <w:lang w:val="en-US" w:eastAsia="zh-CN"/>
              </w:rPr>
            </w:pPr>
            <w:r>
              <w:rPr>
                <w:rFonts w:hint="default"/>
                <w:lang w:val="en-US" w:eastAsia="zh-CN"/>
              </w:rPr>
              <w:t>13830633555</w:t>
            </w:r>
          </w:p>
        </w:tc>
      </w:tr>
      <w:tr w14:paraId="2CD1A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7721CF97">
            <w:pPr>
              <w:rPr>
                <w:rFonts w:ascii="Arial"/>
                <w:sz w:val="21"/>
              </w:rPr>
            </w:pPr>
          </w:p>
        </w:tc>
        <w:tc>
          <w:tcPr>
            <w:tcW w:w="944" w:type="dxa"/>
            <w:tcBorders>
              <w:left w:val="single" w:color="auto" w:sz="4" w:space="0"/>
            </w:tcBorders>
            <w:vAlign w:val="top"/>
          </w:tcPr>
          <w:p w14:paraId="20794767">
            <w:pPr>
              <w:pStyle w:val="12"/>
              <w:spacing w:before="122" w:line="225" w:lineRule="auto"/>
              <w:ind w:firstLine="200" w:firstLineChars="100"/>
              <w:jc w:val="both"/>
              <w:rPr>
                <w:rFonts w:hint="eastAsia"/>
                <w:lang w:val="en-US" w:eastAsia="zh-CN"/>
              </w:rPr>
            </w:pPr>
            <w:r>
              <w:rPr>
                <w:rFonts w:hint="eastAsia"/>
                <w:lang w:val="en-US" w:eastAsia="zh-CN"/>
              </w:rPr>
              <w:t>代俊周</w:t>
            </w:r>
          </w:p>
        </w:tc>
        <w:tc>
          <w:tcPr>
            <w:tcW w:w="3778" w:type="dxa"/>
            <w:vAlign w:val="top"/>
          </w:tcPr>
          <w:p w14:paraId="0AE9E2B6">
            <w:pPr>
              <w:pStyle w:val="12"/>
              <w:spacing w:before="104" w:line="226" w:lineRule="auto"/>
              <w:ind w:left="138"/>
            </w:pPr>
            <w:r>
              <w:rPr>
                <w:spacing w:val="3"/>
              </w:rPr>
              <w:t>区财政局局长</w:t>
            </w:r>
          </w:p>
        </w:tc>
        <w:tc>
          <w:tcPr>
            <w:tcW w:w="1364" w:type="dxa"/>
            <w:vAlign w:val="top"/>
          </w:tcPr>
          <w:p w14:paraId="48B4A93E">
            <w:pPr>
              <w:pStyle w:val="12"/>
              <w:spacing w:before="104" w:line="264" w:lineRule="exact"/>
              <w:ind w:left="328"/>
            </w:pPr>
            <w:r>
              <w:rPr>
                <w:spacing w:val="2"/>
                <w:position w:val="1"/>
              </w:rPr>
              <w:t>8212609</w:t>
            </w:r>
          </w:p>
        </w:tc>
        <w:tc>
          <w:tcPr>
            <w:tcW w:w="1709" w:type="dxa"/>
            <w:tcBorders>
              <w:top w:val="single" w:color="000000" w:sz="4" w:space="0"/>
              <w:left w:val="single" w:color="000000" w:sz="4" w:space="0"/>
              <w:bottom w:val="single" w:color="000000" w:sz="4" w:space="0"/>
              <w:right w:val="single" w:color="000000" w:sz="2" w:space="0"/>
            </w:tcBorders>
            <w:shd w:val="clear" w:color="auto" w:fill="auto"/>
            <w:vAlign w:val="center"/>
          </w:tcPr>
          <w:p w14:paraId="3E103E2F">
            <w:pPr>
              <w:pStyle w:val="12"/>
              <w:spacing w:before="123" w:line="265" w:lineRule="exact"/>
              <w:ind w:left="292"/>
              <w:rPr>
                <w:rFonts w:hint="eastAsia"/>
                <w:lang w:val="en-US" w:eastAsia="zh-CN"/>
              </w:rPr>
            </w:pPr>
            <w:r>
              <w:rPr>
                <w:rFonts w:hint="default"/>
                <w:lang w:val="en-US" w:eastAsia="zh-CN"/>
              </w:rPr>
              <w:t>13993602267</w:t>
            </w:r>
          </w:p>
        </w:tc>
      </w:tr>
      <w:tr w14:paraId="630E7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01A902EA">
            <w:pPr>
              <w:rPr>
                <w:rFonts w:ascii="Arial"/>
                <w:sz w:val="21"/>
              </w:rPr>
            </w:pPr>
          </w:p>
        </w:tc>
        <w:tc>
          <w:tcPr>
            <w:tcW w:w="944" w:type="dxa"/>
            <w:tcBorders>
              <w:left w:val="single" w:color="auto" w:sz="4" w:space="0"/>
            </w:tcBorders>
            <w:vAlign w:val="top"/>
          </w:tcPr>
          <w:p w14:paraId="62975668">
            <w:pPr>
              <w:pStyle w:val="12"/>
              <w:spacing w:before="122" w:line="225" w:lineRule="auto"/>
              <w:ind w:firstLine="200" w:firstLineChars="100"/>
              <w:jc w:val="both"/>
              <w:rPr>
                <w:rFonts w:hint="eastAsia"/>
                <w:lang w:val="en-US" w:eastAsia="zh-CN"/>
              </w:rPr>
            </w:pPr>
            <w:r>
              <w:rPr>
                <w:rFonts w:hint="eastAsia"/>
                <w:lang w:val="en-US" w:eastAsia="zh-CN"/>
              </w:rPr>
              <w:t>管维荣</w:t>
            </w:r>
          </w:p>
        </w:tc>
        <w:tc>
          <w:tcPr>
            <w:tcW w:w="3778" w:type="dxa"/>
            <w:vAlign w:val="top"/>
          </w:tcPr>
          <w:p w14:paraId="1D4B09CE">
            <w:pPr>
              <w:pStyle w:val="12"/>
              <w:spacing w:before="126" w:line="226" w:lineRule="auto"/>
              <w:ind w:left="138"/>
            </w:pPr>
            <w:r>
              <w:rPr>
                <w:rFonts w:hint="eastAsia"/>
                <w:spacing w:val="7"/>
                <w:lang w:eastAsia="zh-CN"/>
              </w:rPr>
              <w:t>应急管理局</w:t>
            </w:r>
            <w:r>
              <w:rPr>
                <w:spacing w:val="7"/>
              </w:rPr>
              <w:t>局长</w:t>
            </w:r>
          </w:p>
        </w:tc>
        <w:tc>
          <w:tcPr>
            <w:tcW w:w="1364" w:type="dxa"/>
            <w:vAlign w:val="top"/>
          </w:tcPr>
          <w:p w14:paraId="64DE8EA1">
            <w:pPr>
              <w:pStyle w:val="12"/>
              <w:spacing w:before="126" w:line="264" w:lineRule="exact"/>
              <w:ind w:left="328"/>
            </w:pPr>
            <w:r>
              <w:rPr>
                <w:spacing w:val="2"/>
                <w:position w:val="1"/>
              </w:rPr>
              <w:t>8243091</w:t>
            </w:r>
          </w:p>
        </w:tc>
        <w:tc>
          <w:tcPr>
            <w:tcW w:w="1709" w:type="dxa"/>
            <w:tcBorders>
              <w:top w:val="single" w:color="000000" w:sz="4" w:space="0"/>
              <w:left w:val="single" w:color="000000" w:sz="4" w:space="0"/>
              <w:bottom w:val="single" w:color="000000" w:sz="4" w:space="0"/>
              <w:right w:val="single" w:color="000000" w:sz="2" w:space="0"/>
            </w:tcBorders>
            <w:vAlign w:val="center"/>
          </w:tcPr>
          <w:p w14:paraId="04403E0C">
            <w:pPr>
              <w:pStyle w:val="12"/>
              <w:spacing w:before="123" w:line="265" w:lineRule="exact"/>
              <w:ind w:left="292"/>
              <w:rPr>
                <w:rFonts w:hint="eastAsia"/>
                <w:lang w:val="en-US" w:eastAsia="zh-CN"/>
              </w:rPr>
            </w:pPr>
            <w:r>
              <w:rPr>
                <w:rFonts w:hint="default"/>
                <w:lang w:val="en-US" w:eastAsia="zh-CN"/>
              </w:rPr>
              <w:t>18193676621</w:t>
            </w:r>
          </w:p>
        </w:tc>
      </w:tr>
      <w:tr w14:paraId="45DE4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600BF9A0">
            <w:pPr>
              <w:rPr>
                <w:rFonts w:ascii="Arial"/>
                <w:sz w:val="21"/>
              </w:rPr>
            </w:pPr>
          </w:p>
        </w:tc>
        <w:tc>
          <w:tcPr>
            <w:tcW w:w="944" w:type="dxa"/>
            <w:tcBorders>
              <w:left w:val="single" w:color="auto" w:sz="4" w:space="0"/>
            </w:tcBorders>
            <w:vAlign w:val="top"/>
          </w:tcPr>
          <w:p w14:paraId="5201358A">
            <w:pPr>
              <w:pStyle w:val="12"/>
              <w:spacing w:before="122" w:line="225" w:lineRule="auto"/>
              <w:ind w:firstLine="200" w:firstLineChars="100"/>
              <w:jc w:val="both"/>
              <w:rPr>
                <w:rFonts w:hint="default"/>
                <w:lang w:val="en-US" w:eastAsia="zh-CN"/>
              </w:rPr>
            </w:pPr>
            <w:r>
              <w:rPr>
                <w:rFonts w:hint="eastAsia"/>
                <w:lang w:val="en-US" w:eastAsia="zh-CN"/>
              </w:rPr>
              <w:t>何  军</w:t>
            </w:r>
          </w:p>
        </w:tc>
        <w:tc>
          <w:tcPr>
            <w:tcW w:w="3778" w:type="dxa"/>
            <w:vAlign w:val="top"/>
          </w:tcPr>
          <w:p w14:paraId="3055B495">
            <w:pPr>
              <w:pStyle w:val="12"/>
              <w:spacing w:before="104" w:line="225" w:lineRule="auto"/>
              <w:ind w:left="138"/>
            </w:pPr>
            <w:r>
              <w:rPr>
                <w:spacing w:val="3"/>
              </w:rPr>
              <w:t>区工信局局长</w:t>
            </w:r>
          </w:p>
        </w:tc>
        <w:tc>
          <w:tcPr>
            <w:tcW w:w="1364" w:type="dxa"/>
            <w:vAlign w:val="top"/>
          </w:tcPr>
          <w:p w14:paraId="7B4148F3">
            <w:pPr>
              <w:pStyle w:val="12"/>
              <w:spacing w:before="105" w:line="264" w:lineRule="exact"/>
              <w:ind w:left="328"/>
            </w:pPr>
            <w:r>
              <w:rPr>
                <w:spacing w:val="2"/>
                <w:position w:val="1"/>
              </w:rPr>
              <w:t>8212396</w:t>
            </w:r>
          </w:p>
        </w:tc>
        <w:tc>
          <w:tcPr>
            <w:tcW w:w="1709" w:type="dxa"/>
            <w:tcBorders>
              <w:top w:val="single" w:color="000000" w:sz="4" w:space="0"/>
              <w:left w:val="single" w:color="000000" w:sz="4" w:space="0"/>
              <w:bottom w:val="single" w:color="000000" w:sz="4" w:space="0"/>
              <w:right w:val="single" w:color="000000" w:sz="2" w:space="0"/>
            </w:tcBorders>
            <w:shd w:val="clear" w:color="auto" w:fill="auto"/>
            <w:vAlign w:val="top"/>
          </w:tcPr>
          <w:p w14:paraId="7FB10BF6">
            <w:pPr>
              <w:pStyle w:val="12"/>
              <w:spacing w:before="123" w:line="265" w:lineRule="exact"/>
              <w:ind w:left="292"/>
              <w:rPr>
                <w:rFonts w:hint="eastAsia"/>
                <w:lang w:val="en-US" w:eastAsia="zh-CN"/>
              </w:rPr>
            </w:pPr>
            <w:r>
              <w:rPr>
                <w:rFonts w:hint="eastAsia"/>
                <w:lang w:val="en-US" w:eastAsia="zh-CN"/>
              </w:rPr>
              <w:t>13830686680</w:t>
            </w:r>
          </w:p>
        </w:tc>
      </w:tr>
      <w:tr w14:paraId="2C4A3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00F0479A">
            <w:pPr>
              <w:rPr>
                <w:rFonts w:ascii="Arial"/>
                <w:sz w:val="21"/>
              </w:rPr>
            </w:pPr>
          </w:p>
        </w:tc>
        <w:tc>
          <w:tcPr>
            <w:tcW w:w="944" w:type="dxa"/>
            <w:tcBorders>
              <w:left w:val="single" w:color="auto" w:sz="4" w:space="0"/>
            </w:tcBorders>
            <w:vAlign w:val="top"/>
          </w:tcPr>
          <w:p w14:paraId="2B618E65">
            <w:pPr>
              <w:pStyle w:val="12"/>
              <w:spacing w:before="122" w:line="225" w:lineRule="auto"/>
              <w:ind w:firstLine="200" w:firstLineChars="100"/>
              <w:jc w:val="both"/>
              <w:rPr>
                <w:rFonts w:hint="default"/>
                <w:lang w:val="en-US" w:eastAsia="zh-CN"/>
              </w:rPr>
            </w:pPr>
            <w:r>
              <w:rPr>
                <w:rFonts w:hint="eastAsia"/>
                <w:lang w:val="en-US" w:eastAsia="zh-CN"/>
              </w:rPr>
              <w:t>冯  俊</w:t>
            </w:r>
          </w:p>
        </w:tc>
        <w:tc>
          <w:tcPr>
            <w:tcW w:w="3778" w:type="dxa"/>
            <w:vAlign w:val="top"/>
          </w:tcPr>
          <w:p w14:paraId="164BCD0A">
            <w:pPr>
              <w:pStyle w:val="12"/>
              <w:spacing w:before="103" w:line="225" w:lineRule="auto"/>
              <w:ind w:left="138"/>
            </w:pPr>
            <w:r>
              <w:rPr>
                <w:spacing w:val="5"/>
              </w:rPr>
              <w:t>区市场监管局局长</w:t>
            </w:r>
          </w:p>
        </w:tc>
        <w:tc>
          <w:tcPr>
            <w:tcW w:w="1364" w:type="dxa"/>
            <w:vAlign w:val="top"/>
          </w:tcPr>
          <w:p w14:paraId="79849C6C">
            <w:pPr>
              <w:pStyle w:val="12"/>
              <w:spacing w:before="103" w:line="264" w:lineRule="exact"/>
              <w:ind w:left="328"/>
            </w:pPr>
            <w:r>
              <w:rPr>
                <w:spacing w:val="2"/>
                <w:position w:val="1"/>
              </w:rPr>
              <w:t>8368091</w:t>
            </w:r>
          </w:p>
        </w:tc>
        <w:tc>
          <w:tcPr>
            <w:tcW w:w="1709" w:type="dxa"/>
            <w:tcBorders>
              <w:top w:val="single" w:color="000000" w:sz="4" w:space="0"/>
              <w:left w:val="single" w:color="000000" w:sz="4" w:space="0"/>
              <w:bottom w:val="single" w:color="000000" w:sz="4" w:space="0"/>
              <w:right w:val="single" w:color="000000" w:sz="2" w:space="0"/>
            </w:tcBorders>
            <w:shd w:val="clear" w:color="auto" w:fill="auto"/>
            <w:vAlign w:val="center"/>
          </w:tcPr>
          <w:p w14:paraId="2667E66B">
            <w:pPr>
              <w:pStyle w:val="12"/>
              <w:spacing w:before="123" w:line="265" w:lineRule="exact"/>
              <w:ind w:left="292"/>
              <w:rPr>
                <w:rFonts w:hint="default"/>
                <w:lang w:val="en-US" w:eastAsia="zh-CN"/>
              </w:rPr>
            </w:pPr>
            <w:r>
              <w:rPr>
                <w:rFonts w:hint="default"/>
                <w:lang w:val="en-US" w:eastAsia="zh-CN"/>
              </w:rPr>
              <w:t>18109360058</w:t>
            </w:r>
          </w:p>
        </w:tc>
      </w:tr>
      <w:tr w14:paraId="3272F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41C6AC9E">
            <w:pPr>
              <w:rPr>
                <w:rFonts w:ascii="Arial"/>
                <w:sz w:val="21"/>
              </w:rPr>
            </w:pPr>
          </w:p>
        </w:tc>
        <w:tc>
          <w:tcPr>
            <w:tcW w:w="944" w:type="dxa"/>
            <w:tcBorders>
              <w:left w:val="single" w:color="auto" w:sz="4" w:space="0"/>
            </w:tcBorders>
            <w:vAlign w:val="top"/>
          </w:tcPr>
          <w:p w14:paraId="1E2D35B6">
            <w:pPr>
              <w:pStyle w:val="12"/>
              <w:spacing w:before="122" w:line="225" w:lineRule="auto"/>
              <w:ind w:firstLine="200" w:firstLineChars="100"/>
              <w:jc w:val="both"/>
              <w:rPr>
                <w:rFonts w:hint="eastAsia"/>
                <w:lang w:val="en-US" w:eastAsia="zh-CN"/>
              </w:rPr>
            </w:pPr>
            <w:r>
              <w:rPr>
                <w:rFonts w:hint="eastAsia"/>
                <w:lang w:val="en-US" w:eastAsia="zh-CN"/>
              </w:rPr>
              <w:t>赵乾升</w:t>
            </w:r>
          </w:p>
        </w:tc>
        <w:tc>
          <w:tcPr>
            <w:tcW w:w="3778" w:type="dxa"/>
            <w:vAlign w:val="top"/>
          </w:tcPr>
          <w:p w14:paraId="70DFF290">
            <w:pPr>
              <w:pStyle w:val="12"/>
              <w:spacing w:before="125" w:line="226" w:lineRule="auto"/>
              <w:ind w:left="138"/>
            </w:pPr>
            <w:r>
              <w:rPr>
                <w:spacing w:val="3"/>
              </w:rPr>
              <w:t>区水务局局长</w:t>
            </w:r>
          </w:p>
        </w:tc>
        <w:tc>
          <w:tcPr>
            <w:tcW w:w="1364" w:type="dxa"/>
            <w:vAlign w:val="top"/>
          </w:tcPr>
          <w:p w14:paraId="4D53E471">
            <w:pPr>
              <w:pStyle w:val="12"/>
              <w:spacing w:before="125" w:line="265" w:lineRule="exact"/>
              <w:ind w:left="328"/>
            </w:pPr>
            <w:r>
              <w:rPr>
                <w:spacing w:val="2"/>
                <w:position w:val="1"/>
              </w:rPr>
              <w:t>8863600</w:t>
            </w:r>
          </w:p>
        </w:tc>
        <w:tc>
          <w:tcPr>
            <w:tcW w:w="1709" w:type="dxa"/>
            <w:tcBorders>
              <w:top w:val="single" w:color="000000" w:sz="4" w:space="0"/>
              <w:left w:val="single" w:color="000000" w:sz="4" w:space="0"/>
              <w:bottom w:val="single" w:color="000000" w:sz="4" w:space="0"/>
              <w:right w:val="single" w:color="000000" w:sz="2" w:space="0"/>
            </w:tcBorders>
            <w:vAlign w:val="center"/>
          </w:tcPr>
          <w:p w14:paraId="6C2619BE">
            <w:pPr>
              <w:pStyle w:val="12"/>
              <w:spacing w:before="123" w:line="265" w:lineRule="exact"/>
              <w:ind w:left="292"/>
              <w:rPr>
                <w:rFonts w:hint="eastAsia"/>
                <w:lang w:val="en-US" w:eastAsia="zh-CN"/>
              </w:rPr>
            </w:pPr>
            <w:r>
              <w:rPr>
                <w:rFonts w:hint="default"/>
                <w:lang w:val="en-US" w:eastAsia="zh-CN"/>
              </w:rPr>
              <w:t>13830681121</w:t>
            </w:r>
          </w:p>
        </w:tc>
      </w:tr>
      <w:tr w14:paraId="31269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2F788697">
            <w:pPr>
              <w:rPr>
                <w:rFonts w:ascii="Arial"/>
                <w:sz w:val="21"/>
              </w:rPr>
            </w:pPr>
          </w:p>
        </w:tc>
        <w:tc>
          <w:tcPr>
            <w:tcW w:w="944" w:type="dxa"/>
            <w:tcBorders>
              <w:left w:val="single" w:color="auto" w:sz="4" w:space="0"/>
            </w:tcBorders>
            <w:vAlign w:val="top"/>
          </w:tcPr>
          <w:p w14:paraId="52DF1771">
            <w:pPr>
              <w:pStyle w:val="12"/>
              <w:spacing w:before="122" w:line="225" w:lineRule="auto"/>
              <w:ind w:firstLine="200" w:firstLineChars="100"/>
              <w:jc w:val="both"/>
              <w:rPr>
                <w:rFonts w:hint="default"/>
                <w:lang w:val="en-US" w:eastAsia="zh-CN"/>
              </w:rPr>
            </w:pPr>
            <w:r>
              <w:rPr>
                <w:rFonts w:hint="eastAsia"/>
                <w:lang w:val="en-US" w:eastAsia="zh-CN"/>
              </w:rPr>
              <w:t>高兴湖</w:t>
            </w:r>
          </w:p>
        </w:tc>
        <w:tc>
          <w:tcPr>
            <w:tcW w:w="3778" w:type="dxa"/>
            <w:vAlign w:val="top"/>
          </w:tcPr>
          <w:p w14:paraId="2D7AF691">
            <w:pPr>
              <w:pStyle w:val="12"/>
              <w:spacing w:before="125" w:line="226" w:lineRule="auto"/>
              <w:ind w:left="138"/>
              <w:rPr>
                <w:rFonts w:hint="default" w:eastAsia="仿宋"/>
                <w:spacing w:val="3"/>
                <w:lang w:val="en-US" w:eastAsia="zh-CN"/>
              </w:rPr>
            </w:pPr>
            <w:r>
              <w:rPr>
                <w:rFonts w:hint="eastAsia"/>
                <w:spacing w:val="3"/>
                <w:lang w:val="en-US" w:eastAsia="zh-CN"/>
              </w:rPr>
              <w:t>区林草局副局长</w:t>
            </w:r>
          </w:p>
        </w:tc>
        <w:tc>
          <w:tcPr>
            <w:tcW w:w="1364" w:type="dxa"/>
            <w:vAlign w:val="top"/>
          </w:tcPr>
          <w:p w14:paraId="1982A7A4">
            <w:pPr>
              <w:pStyle w:val="12"/>
              <w:spacing w:before="125" w:line="265" w:lineRule="exact"/>
              <w:ind w:left="328"/>
              <w:rPr>
                <w:rFonts w:hint="default" w:eastAsia="仿宋"/>
                <w:spacing w:val="2"/>
                <w:position w:val="1"/>
                <w:lang w:val="en-US" w:eastAsia="zh-CN"/>
              </w:rPr>
            </w:pPr>
            <w:r>
              <w:rPr>
                <w:rFonts w:hint="eastAsia"/>
                <w:spacing w:val="2"/>
                <w:position w:val="1"/>
                <w:lang w:val="en-US" w:eastAsia="zh-CN"/>
              </w:rPr>
              <w:t>8868810</w:t>
            </w:r>
          </w:p>
        </w:tc>
        <w:tc>
          <w:tcPr>
            <w:tcW w:w="1709" w:type="dxa"/>
            <w:tcBorders>
              <w:top w:val="single" w:color="000000" w:sz="4" w:space="0"/>
              <w:left w:val="single" w:color="000000" w:sz="4" w:space="0"/>
              <w:bottom w:val="single" w:color="000000" w:sz="4" w:space="0"/>
              <w:right w:val="single" w:color="000000" w:sz="2" w:space="0"/>
            </w:tcBorders>
            <w:vAlign w:val="center"/>
          </w:tcPr>
          <w:p w14:paraId="757F44F9">
            <w:pPr>
              <w:pStyle w:val="12"/>
              <w:spacing w:before="123" w:line="265" w:lineRule="exact"/>
              <w:ind w:left="292"/>
              <w:rPr>
                <w:rFonts w:hint="default"/>
                <w:lang w:val="en-US" w:eastAsia="zh-CN"/>
              </w:rPr>
            </w:pPr>
            <w:r>
              <w:rPr>
                <w:rFonts w:hint="eastAsia"/>
                <w:lang w:val="en-US" w:eastAsia="zh-CN"/>
              </w:rPr>
              <w:t>13830601185</w:t>
            </w:r>
          </w:p>
        </w:tc>
      </w:tr>
      <w:tr w14:paraId="2A6CB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6C83B2B0">
            <w:pPr>
              <w:rPr>
                <w:rFonts w:ascii="Arial"/>
                <w:sz w:val="21"/>
              </w:rPr>
            </w:pPr>
          </w:p>
        </w:tc>
        <w:tc>
          <w:tcPr>
            <w:tcW w:w="944" w:type="dxa"/>
            <w:tcBorders>
              <w:left w:val="single" w:color="auto" w:sz="4" w:space="0"/>
            </w:tcBorders>
            <w:vAlign w:val="top"/>
          </w:tcPr>
          <w:p w14:paraId="76540AA8">
            <w:pPr>
              <w:pStyle w:val="12"/>
              <w:spacing w:before="122" w:line="225" w:lineRule="auto"/>
              <w:ind w:firstLine="200" w:firstLineChars="100"/>
              <w:jc w:val="both"/>
              <w:rPr>
                <w:rFonts w:hint="default"/>
                <w:lang w:val="en-US" w:eastAsia="zh-CN"/>
              </w:rPr>
            </w:pPr>
            <w:r>
              <w:rPr>
                <w:rFonts w:hint="eastAsia"/>
                <w:lang w:val="en-US" w:eastAsia="zh-CN"/>
              </w:rPr>
              <w:t>王  东</w:t>
            </w:r>
          </w:p>
        </w:tc>
        <w:tc>
          <w:tcPr>
            <w:tcW w:w="3778" w:type="dxa"/>
            <w:vAlign w:val="top"/>
          </w:tcPr>
          <w:p w14:paraId="08692D78">
            <w:pPr>
              <w:pStyle w:val="12"/>
              <w:spacing w:before="104" w:line="225" w:lineRule="auto"/>
              <w:ind w:left="138"/>
            </w:pPr>
            <w:r>
              <w:rPr>
                <w:spacing w:val="5"/>
              </w:rPr>
              <w:t>区农业农村局局长</w:t>
            </w:r>
          </w:p>
        </w:tc>
        <w:tc>
          <w:tcPr>
            <w:tcW w:w="1364" w:type="dxa"/>
            <w:vAlign w:val="top"/>
          </w:tcPr>
          <w:p w14:paraId="6F5877D4">
            <w:pPr>
              <w:pStyle w:val="12"/>
              <w:spacing w:before="104" w:line="265" w:lineRule="exact"/>
              <w:ind w:left="328"/>
            </w:pPr>
            <w:r>
              <w:rPr>
                <w:spacing w:val="2"/>
                <w:position w:val="1"/>
              </w:rPr>
              <w:t>8213436</w:t>
            </w:r>
          </w:p>
        </w:tc>
        <w:tc>
          <w:tcPr>
            <w:tcW w:w="1709" w:type="dxa"/>
            <w:tcBorders>
              <w:top w:val="single" w:color="000000" w:sz="4" w:space="0"/>
              <w:left w:val="single" w:color="000000" w:sz="4" w:space="0"/>
              <w:bottom w:val="single" w:color="000000" w:sz="4" w:space="0"/>
              <w:right w:val="single" w:color="000000" w:sz="2" w:space="0"/>
            </w:tcBorders>
            <w:vAlign w:val="top"/>
          </w:tcPr>
          <w:p w14:paraId="2FA55E78">
            <w:pPr>
              <w:pStyle w:val="12"/>
              <w:spacing w:before="123" w:line="265" w:lineRule="exact"/>
              <w:ind w:left="292"/>
              <w:rPr>
                <w:rFonts w:hint="eastAsia"/>
                <w:lang w:val="en-US" w:eastAsia="zh-CN"/>
              </w:rPr>
            </w:pPr>
            <w:r>
              <w:rPr>
                <w:rFonts w:hint="eastAsia"/>
                <w:lang w:val="en-US" w:eastAsia="zh-CN"/>
              </w:rPr>
              <w:t>13993645182</w:t>
            </w:r>
          </w:p>
        </w:tc>
      </w:tr>
      <w:tr w14:paraId="65EE6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3F0EB87B">
            <w:pPr>
              <w:rPr>
                <w:rFonts w:ascii="Arial"/>
                <w:sz w:val="21"/>
              </w:rPr>
            </w:pPr>
          </w:p>
        </w:tc>
        <w:tc>
          <w:tcPr>
            <w:tcW w:w="944" w:type="dxa"/>
            <w:tcBorders>
              <w:left w:val="single" w:color="auto" w:sz="4" w:space="0"/>
            </w:tcBorders>
            <w:vAlign w:val="top"/>
          </w:tcPr>
          <w:p w14:paraId="16F7D039">
            <w:pPr>
              <w:pStyle w:val="12"/>
              <w:spacing w:before="122" w:line="225" w:lineRule="auto"/>
              <w:ind w:firstLine="200" w:firstLineChars="100"/>
              <w:jc w:val="both"/>
              <w:rPr>
                <w:rFonts w:hint="default"/>
                <w:lang w:val="en-US" w:eastAsia="zh-CN"/>
              </w:rPr>
            </w:pPr>
            <w:r>
              <w:rPr>
                <w:rFonts w:hint="eastAsia"/>
                <w:lang w:val="en-US" w:eastAsia="zh-CN"/>
              </w:rPr>
              <w:t>焦江伟</w:t>
            </w:r>
          </w:p>
        </w:tc>
        <w:tc>
          <w:tcPr>
            <w:tcW w:w="3778" w:type="dxa"/>
            <w:vAlign w:val="top"/>
          </w:tcPr>
          <w:p w14:paraId="63EAF2A8">
            <w:pPr>
              <w:pStyle w:val="12"/>
              <w:spacing w:before="104" w:line="225" w:lineRule="auto"/>
              <w:ind w:left="138"/>
              <w:rPr>
                <w:rFonts w:hint="default" w:eastAsia="仿宋"/>
                <w:spacing w:val="5"/>
                <w:lang w:val="en-US" w:eastAsia="zh-CN"/>
              </w:rPr>
            </w:pPr>
            <w:r>
              <w:rPr>
                <w:rFonts w:hint="eastAsia"/>
                <w:spacing w:val="5"/>
                <w:lang w:val="en-US" w:eastAsia="zh-CN"/>
              </w:rPr>
              <w:t>区消防救援局局长</w:t>
            </w:r>
          </w:p>
        </w:tc>
        <w:tc>
          <w:tcPr>
            <w:tcW w:w="1364" w:type="dxa"/>
            <w:vAlign w:val="top"/>
          </w:tcPr>
          <w:p w14:paraId="309995C7">
            <w:pPr>
              <w:pStyle w:val="12"/>
              <w:spacing w:before="104" w:line="265" w:lineRule="exact"/>
              <w:ind w:left="328"/>
              <w:rPr>
                <w:rFonts w:hint="default" w:eastAsia="仿宋"/>
                <w:spacing w:val="2"/>
                <w:position w:val="1"/>
                <w:lang w:val="en-US" w:eastAsia="zh-CN"/>
              </w:rPr>
            </w:pPr>
            <w:r>
              <w:rPr>
                <w:rFonts w:hint="eastAsia"/>
                <w:spacing w:val="2"/>
                <w:position w:val="1"/>
                <w:lang w:val="en-US" w:eastAsia="zh-CN"/>
              </w:rPr>
              <w:t>8226119</w:t>
            </w:r>
          </w:p>
        </w:tc>
        <w:tc>
          <w:tcPr>
            <w:tcW w:w="1709" w:type="dxa"/>
            <w:tcBorders>
              <w:top w:val="single" w:color="000000" w:sz="4" w:space="0"/>
              <w:left w:val="single" w:color="000000" w:sz="4" w:space="0"/>
              <w:bottom w:val="single" w:color="000000" w:sz="4" w:space="0"/>
              <w:right w:val="single" w:color="000000" w:sz="2" w:space="0"/>
            </w:tcBorders>
            <w:vAlign w:val="top"/>
          </w:tcPr>
          <w:p w14:paraId="148B51DC">
            <w:pPr>
              <w:pStyle w:val="12"/>
              <w:spacing w:before="123" w:line="265" w:lineRule="exact"/>
              <w:ind w:left="292"/>
              <w:rPr>
                <w:rFonts w:hint="default"/>
                <w:lang w:val="en-US" w:eastAsia="zh-CN"/>
              </w:rPr>
            </w:pPr>
            <w:r>
              <w:rPr>
                <w:rFonts w:hint="eastAsia"/>
                <w:lang w:val="en-US" w:eastAsia="zh-CN"/>
              </w:rPr>
              <w:t>13993650119</w:t>
            </w:r>
          </w:p>
        </w:tc>
      </w:tr>
      <w:tr w14:paraId="4E5FD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60CAF778">
            <w:pPr>
              <w:rPr>
                <w:rFonts w:ascii="Arial"/>
                <w:sz w:val="21"/>
              </w:rPr>
            </w:pPr>
          </w:p>
        </w:tc>
        <w:tc>
          <w:tcPr>
            <w:tcW w:w="944" w:type="dxa"/>
            <w:tcBorders>
              <w:left w:val="single" w:color="auto" w:sz="4" w:space="0"/>
            </w:tcBorders>
            <w:vAlign w:val="top"/>
          </w:tcPr>
          <w:p w14:paraId="0A987BA7">
            <w:pPr>
              <w:pStyle w:val="12"/>
              <w:spacing w:before="122" w:line="225" w:lineRule="auto"/>
              <w:ind w:firstLine="200" w:firstLineChars="100"/>
              <w:jc w:val="both"/>
              <w:rPr>
                <w:rFonts w:hint="default"/>
                <w:lang w:val="en-US" w:eastAsia="zh-CN"/>
              </w:rPr>
            </w:pPr>
            <w:r>
              <w:rPr>
                <w:rFonts w:hint="eastAsia"/>
                <w:lang w:val="en-US" w:eastAsia="zh-CN"/>
              </w:rPr>
              <w:t>徐红斌</w:t>
            </w:r>
          </w:p>
        </w:tc>
        <w:tc>
          <w:tcPr>
            <w:tcW w:w="3778" w:type="dxa"/>
            <w:vAlign w:val="top"/>
          </w:tcPr>
          <w:p w14:paraId="6D5E245B">
            <w:pPr>
              <w:pStyle w:val="12"/>
              <w:spacing w:before="105" w:line="226" w:lineRule="auto"/>
              <w:ind w:left="138"/>
            </w:pPr>
            <w:r>
              <w:rPr>
                <w:spacing w:val="5"/>
              </w:rPr>
              <w:t>区交通运输局局长</w:t>
            </w:r>
          </w:p>
        </w:tc>
        <w:tc>
          <w:tcPr>
            <w:tcW w:w="1364" w:type="dxa"/>
            <w:vAlign w:val="top"/>
          </w:tcPr>
          <w:p w14:paraId="17F0AE85">
            <w:pPr>
              <w:pStyle w:val="12"/>
              <w:spacing w:before="105" w:line="264" w:lineRule="exact"/>
              <w:ind w:left="328"/>
            </w:pPr>
            <w:r>
              <w:rPr>
                <w:spacing w:val="2"/>
                <w:position w:val="1"/>
              </w:rPr>
              <w:t>8242208</w:t>
            </w:r>
          </w:p>
        </w:tc>
        <w:tc>
          <w:tcPr>
            <w:tcW w:w="1709" w:type="dxa"/>
            <w:tcBorders>
              <w:top w:val="single" w:color="000000" w:sz="4" w:space="0"/>
              <w:left w:val="single" w:color="000000" w:sz="4" w:space="0"/>
              <w:bottom w:val="single" w:color="000000" w:sz="4" w:space="0"/>
              <w:right w:val="single" w:color="000000" w:sz="2" w:space="0"/>
            </w:tcBorders>
            <w:vAlign w:val="top"/>
          </w:tcPr>
          <w:p w14:paraId="23535BC2">
            <w:pPr>
              <w:pStyle w:val="12"/>
              <w:spacing w:before="123" w:line="265" w:lineRule="exact"/>
              <w:ind w:left="292"/>
              <w:rPr>
                <w:rFonts w:hint="default"/>
                <w:lang w:val="en-US" w:eastAsia="zh-CN"/>
              </w:rPr>
            </w:pPr>
            <w:r>
              <w:rPr>
                <w:rFonts w:hint="eastAsia"/>
                <w:lang w:val="en-US" w:eastAsia="zh-CN"/>
              </w:rPr>
              <w:t>13830664609</w:t>
            </w:r>
          </w:p>
        </w:tc>
      </w:tr>
      <w:tr w14:paraId="792CE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006A336F">
            <w:pPr>
              <w:rPr>
                <w:rFonts w:ascii="Arial"/>
                <w:sz w:val="21"/>
              </w:rPr>
            </w:pPr>
          </w:p>
        </w:tc>
        <w:tc>
          <w:tcPr>
            <w:tcW w:w="944" w:type="dxa"/>
            <w:tcBorders>
              <w:left w:val="single" w:color="auto" w:sz="4" w:space="0"/>
            </w:tcBorders>
            <w:vAlign w:val="top"/>
          </w:tcPr>
          <w:p w14:paraId="5D7FBFBA">
            <w:pPr>
              <w:pStyle w:val="12"/>
              <w:spacing w:before="122" w:line="225" w:lineRule="auto"/>
              <w:ind w:firstLine="200" w:firstLineChars="100"/>
              <w:jc w:val="both"/>
              <w:rPr>
                <w:rFonts w:hint="default"/>
                <w:lang w:val="en-US" w:eastAsia="zh-CN"/>
              </w:rPr>
            </w:pPr>
            <w:r>
              <w:rPr>
                <w:rFonts w:hint="eastAsia"/>
                <w:lang w:val="en-US" w:eastAsia="zh-CN"/>
              </w:rPr>
              <w:t>代聪洲</w:t>
            </w:r>
          </w:p>
        </w:tc>
        <w:tc>
          <w:tcPr>
            <w:tcW w:w="3778" w:type="dxa"/>
            <w:vAlign w:val="top"/>
          </w:tcPr>
          <w:p w14:paraId="126D016D">
            <w:pPr>
              <w:pStyle w:val="12"/>
              <w:spacing w:before="105" w:line="226" w:lineRule="auto"/>
              <w:ind w:left="138"/>
              <w:rPr>
                <w:rFonts w:hint="default" w:eastAsia="仿宋"/>
                <w:spacing w:val="5"/>
                <w:lang w:val="en-US" w:eastAsia="zh-CN"/>
              </w:rPr>
            </w:pPr>
            <w:r>
              <w:rPr>
                <w:rFonts w:hint="eastAsia"/>
                <w:spacing w:val="5"/>
                <w:lang w:val="en-US" w:eastAsia="zh-CN"/>
              </w:rPr>
              <w:t>区教育局副局长</w:t>
            </w:r>
          </w:p>
        </w:tc>
        <w:tc>
          <w:tcPr>
            <w:tcW w:w="1364" w:type="dxa"/>
            <w:vAlign w:val="top"/>
          </w:tcPr>
          <w:p w14:paraId="04ACFE16">
            <w:pPr>
              <w:pStyle w:val="12"/>
              <w:spacing w:before="105" w:line="264" w:lineRule="exact"/>
              <w:ind w:left="328"/>
              <w:rPr>
                <w:rFonts w:hint="default" w:eastAsia="仿宋"/>
                <w:spacing w:val="2"/>
                <w:position w:val="1"/>
                <w:lang w:val="en-US" w:eastAsia="zh-CN"/>
              </w:rPr>
            </w:pPr>
            <w:r>
              <w:rPr>
                <w:rFonts w:hint="eastAsia"/>
                <w:spacing w:val="2"/>
                <w:position w:val="1"/>
                <w:lang w:val="en-US" w:eastAsia="zh-CN"/>
              </w:rPr>
              <w:t>8214085</w:t>
            </w:r>
          </w:p>
        </w:tc>
        <w:tc>
          <w:tcPr>
            <w:tcW w:w="1709" w:type="dxa"/>
            <w:tcBorders>
              <w:top w:val="single" w:color="000000" w:sz="4" w:space="0"/>
              <w:left w:val="single" w:color="000000" w:sz="4" w:space="0"/>
              <w:bottom w:val="single" w:color="000000" w:sz="4" w:space="0"/>
              <w:right w:val="single" w:color="000000" w:sz="2" w:space="0"/>
            </w:tcBorders>
            <w:vAlign w:val="top"/>
          </w:tcPr>
          <w:p w14:paraId="25A7F5C5">
            <w:pPr>
              <w:pStyle w:val="12"/>
              <w:spacing w:before="123" w:line="265" w:lineRule="exact"/>
              <w:ind w:left="292"/>
              <w:rPr>
                <w:rFonts w:hint="eastAsia"/>
                <w:lang w:val="en-US" w:eastAsia="zh-CN"/>
              </w:rPr>
            </w:pPr>
            <w:r>
              <w:rPr>
                <w:rFonts w:hint="eastAsia"/>
                <w:lang w:val="en-US" w:eastAsia="zh-CN"/>
              </w:rPr>
              <w:t>18993662988</w:t>
            </w:r>
          </w:p>
        </w:tc>
      </w:tr>
      <w:tr w14:paraId="5B21F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32D42590">
            <w:pPr>
              <w:rPr>
                <w:rFonts w:ascii="Arial"/>
                <w:sz w:val="21"/>
              </w:rPr>
            </w:pPr>
          </w:p>
        </w:tc>
        <w:tc>
          <w:tcPr>
            <w:tcW w:w="944" w:type="dxa"/>
            <w:tcBorders>
              <w:left w:val="single" w:color="auto" w:sz="4" w:space="0"/>
            </w:tcBorders>
            <w:vAlign w:val="top"/>
          </w:tcPr>
          <w:p w14:paraId="3F9F36F7">
            <w:pPr>
              <w:pStyle w:val="12"/>
              <w:spacing w:before="122" w:line="225" w:lineRule="auto"/>
              <w:ind w:firstLine="200" w:firstLineChars="100"/>
              <w:jc w:val="both"/>
              <w:rPr>
                <w:rFonts w:hint="eastAsia"/>
                <w:lang w:val="en-US" w:eastAsia="zh-CN"/>
              </w:rPr>
            </w:pPr>
            <w:r>
              <w:rPr>
                <w:rFonts w:hint="eastAsia"/>
                <w:lang w:val="en-US" w:eastAsia="zh-CN"/>
              </w:rPr>
              <w:t>王建福</w:t>
            </w:r>
          </w:p>
        </w:tc>
        <w:tc>
          <w:tcPr>
            <w:tcW w:w="3778" w:type="dxa"/>
            <w:vAlign w:val="top"/>
          </w:tcPr>
          <w:p w14:paraId="62EEA56C">
            <w:pPr>
              <w:pStyle w:val="12"/>
              <w:spacing w:before="105" w:line="226" w:lineRule="auto"/>
              <w:ind w:left="138"/>
              <w:rPr>
                <w:rFonts w:hint="default" w:eastAsia="仿宋"/>
                <w:spacing w:val="5"/>
                <w:lang w:val="en-US" w:eastAsia="zh-CN"/>
              </w:rPr>
            </w:pPr>
            <w:r>
              <w:rPr>
                <w:rFonts w:hint="eastAsia"/>
                <w:spacing w:val="5"/>
                <w:lang w:val="en-US" w:eastAsia="zh-CN"/>
              </w:rPr>
              <w:t>区住建局局长</w:t>
            </w:r>
          </w:p>
        </w:tc>
        <w:tc>
          <w:tcPr>
            <w:tcW w:w="1364" w:type="dxa"/>
            <w:vAlign w:val="top"/>
          </w:tcPr>
          <w:p w14:paraId="16707794">
            <w:pPr>
              <w:pStyle w:val="12"/>
              <w:spacing w:before="105" w:line="264" w:lineRule="exact"/>
              <w:ind w:left="328"/>
              <w:rPr>
                <w:rFonts w:hint="default" w:eastAsia="仿宋"/>
                <w:spacing w:val="2"/>
                <w:position w:val="1"/>
                <w:lang w:val="en-US" w:eastAsia="zh-CN"/>
              </w:rPr>
            </w:pPr>
            <w:r>
              <w:rPr>
                <w:rFonts w:hint="eastAsia"/>
                <w:spacing w:val="2"/>
                <w:position w:val="1"/>
                <w:lang w:val="en-US" w:eastAsia="zh-CN"/>
              </w:rPr>
              <w:t>8213502</w:t>
            </w:r>
          </w:p>
        </w:tc>
        <w:tc>
          <w:tcPr>
            <w:tcW w:w="1709" w:type="dxa"/>
            <w:tcBorders>
              <w:top w:val="single" w:color="000000" w:sz="4" w:space="0"/>
              <w:left w:val="single" w:color="000000" w:sz="4" w:space="0"/>
              <w:bottom w:val="single" w:color="000000" w:sz="4" w:space="0"/>
              <w:right w:val="single" w:color="000000" w:sz="2" w:space="0"/>
            </w:tcBorders>
            <w:vAlign w:val="top"/>
          </w:tcPr>
          <w:p w14:paraId="7D4DA0D1">
            <w:pPr>
              <w:pStyle w:val="12"/>
              <w:spacing w:before="123" w:line="265" w:lineRule="exact"/>
              <w:ind w:left="292"/>
              <w:rPr>
                <w:rFonts w:hint="default"/>
                <w:lang w:val="en-US" w:eastAsia="zh-CN"/>
              </w:rPr>
            </w:pPr>
            <w:r>
              <w:rPr>
                <w:rFonts w:hint="eastAsia"/>
                <w:lang w:val="en-US" w:eastAsia="zh-CN"/>
              </w:rPr>
              <w:t>13993695323</w:t>
            </w:r>
          </w:p>
        </w:tc>
      </w:tr>
      <w:tr w14:paraId="36729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25727949">
            <w:pPr>
              <w:rPr>
                <w:rFonts w:ascii="Arial"/>
                <w:sz w:val="21"/>
              </w:rPr>
            </w:pPr>
          </w:p>
        </w:tc>
        <w:tc>
          <w:tcPr>
            <w:tcW w:w="944" w:type="dxa"/>
            <w:tcBorders>
              <w:left w:val="single" w:color="auto" w:sz="4" w:space="0"/>
            </w:tcBorders>
            <w:vAlign w:val="top"/>
          </w:tcPr>
          <w:p w14:paraId="7C8F64CB">
            <w:pPr>
              <w:pStyle w:val="12"/>
              <w:spacing w:before="122" w:line="225" w:lineRule="auto"/>
              <w:ind w:firstLine="200" w:firstLineChars="100"/>
              <w:jc w:val="both"/>
              <w:rPr>
                <w:rFonts w:hint="default"/>
                <w:lang w:val="en-US" w:eastAsia="zh-CN"/>
              </w:rPr>
            </w:pPr>
            <w:r>
              <w:rPr>
                <w:rFonts w:hint="eastAsia"/>
                <w:lang w:val="en-US" w:eastAsia="zh-CN"/>
              </w:rPr>
              <w:t>贾永庆</w:t>
            </w:r>
          </w:p>
        </w:tc>
        <w:tc>
          <w:tcPr>
            <w:tcW w:w="3778" w:type="dxa"/>
            <w:vAlign w:val="top"/>
          </w:tcPr>
          <w:p w14:paraId="742720CD">
            <w:pPr>
              <w:pStyle w:val="12"/>
              <w:spacing w:before="104" w:line="225" w:lineRule="auto"/>
              <w:ind w:left="119"/>
            </w:pPr>
            <w:r>
              <w:rPr>
                <w:spacing w:val="8"/>
              </w:rPr>
              <w:t>市公安局甘州分局副局长</w:t>
            </w:r>
          </w:p>
        </w:tc>
        <w:tc>
          <w:tcPr>
            <w:tcW w:w="1364" w:type="dxa"/>
            <w:vAlign w:val="top"/>
          </w:tcPr>
          <w:p w14:paraId="37FBAF01">
            <w:pPr>
              <w:pStyle w:val="12"/>
              <w:spacing w:before="104" w:line="264" w:lineRule="exact"/>
              <w:ind w:left="329"/>
              <w:rPr>
                <w:rFonts w:hint="default" w:eastAsia="仿宋"/>
                <w:lang w:val="en-US" w:eastAsia="zh-CN"/>
              </w:rPr>
            </w:pPr>
            <w:r>
              <w:rPr>
                <w:rFonts w:hint="eastAsia"/>
                <w:lang w:val="en-US" w:eastAsia="zh-CN"/>
              </w:rPr>
              <w:t>8212416</w:t>
            </w:r>
          </w:p>
        </w:tc>
        <w:tc>
          <w:tcPr>
            <w:tcW w:w="1709" w:type="dxa"/>
            <w:tcBorders>
              <w:top w:val="single" w:color="000000" w:sz="4" w:space="0"/>
              <w:left w:val="single" w:color="000000" w:sz="4" w:space="0"/>
              <w:bottom w:val="single" w:color="000000" w:sz="4" w:space="0"/>
              <w:right w:val="single" w:color="000000" w:sz="2" w:space="0"/>
            </w:tcBorders>
            <w:vAlign w:val="top"/>
          </w:tcPr>
          <w:p w14:paraId="01858391">
            <w:pPr>
              <w:pStyle w:val="12"/>
              <w:spacing w:before="123" w:line="265" w:lineRule="exact"/>
              <w:ind w:left="292"/>
              <w:rPr>
                <w:rFonts w:hint="default"/>
                <w:lang w:val="en-US" w:eastAsia="zh-CN"/>
              </w:rPr>
            </w:pPr>
            <w:r>
              <w:rPr>
                <w:rFonts w:hint="eastAsia"/>
                <w:lang w:val="en-US" w:eastAsia="zh-CN"/>
              </w:rPr>
              <w:t>13689361913</w:t>
            </w:r>
          </w:p>
        </w:tc>
      </w:tr>
      <w:tr w14:paraId="7450F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52" w:type="dxa"/>
            <w:vMerge w:val="continue"/>
            <w:tcBorders>
              <w:top w:val="single" w:color="auto" w:sz="4" w:space="0"/>
              <w:left w:val="single" w:color="auto" w:sz="4" w:space="0"/>
              <w:bottom w:val="single" w:color="auto" w:sz="4" w:space="0"/>
              <w:right w:val="single" w:color="auto" w:sz="4" w:space="0"/>
            </w:tcBorders>
            <w:vAlign w:val="top"/>
          </w:tcPr>
          <w:p w14:paraId="7ED4126D">
            <w:pPr>
              <w:rPr>
                <w:rFonts w:ascii="Arial"/>
                <w:sz w:val="21"/>
              </w:rPr>
            </w:pPr>
          </w:p>
        </w:tc>
        <w:tc>
          <w:tcPr>
            <w:tcW w:w="944" w:type="dxa"/>
            <w:tcBorders>
              <w:left w:val="single" w:color="auto" w:sz="4" w:space="0"/>
            </w:tcBorders>
            <w:vAlign w:val="top"/>
          </w:tcPr>
          <w:p w14:paraId="5C6F6B0F">
            <w:pPr>
              <w:pStyle w:val="12"/>
              <w:spacing w:before="104" w:line="228" w:lineRule="auto"/>
              <w:ind w:left="164"/>
              <w:rPr>
                <w:rFonts w:hint="default" w:eastAsia="仿宋"/>
                <w:lang w:val="en-US" w:eastAsia="zh-CN"/>
              </w:rPr>
            </w:pPr>
            <w:r>
              <w:rPr>
                <w:rFonts w:hint="eastAsia"/>
                <w:lang w:val="en-US" w:eastAsia="zh-CN"/>
              </w:rPr>
              <w:t>宋世杰</w:t>
            </w:r>
          </w:p>
        </w:tc>
        <w:tc>
          <w:tcPr>
            <w:tcW w:w="3778" w:type="dxa"/>
            <w:vAlign w:val="top"/>
          </w:tcPr>
          <w:p w14:paraId="2C647F30">
            <w:pPr>
              <w:pStyle w:val="12"/>
              <w:spacing w:before="105" w:line="225" w:lineRule="auto"/>
              <w:ind w:left="119"/>
            </w:pPr>
            <w:r>
              <w:rPr>
                <w:spacing w:val="8"/>
              </w:rPr>
              <w:t>市生态环境局甘州分局副局长</w:t>
            </w:r>
          </w:p>
        </w:tc>
        <w:tc>
          <w:tcPr>
            <w:tcW w:w="1364" w:type="dxa"/>
            <w:vAlign w:val="top"/>
          </w:tcPr>
          <w:p w14:paraId="645C4E23">
            <w:pPr>
              <w:pStyle w:val="12"/>
              <w:spacing w:before="105" w:line="264" w:lineRule="exact"/>
              <w:ind w:left="328"/>
            </w:pPr>
            <w:r>
              <w:rPr>
                <w:spacing w:val="2"/>
                <w:position w:val="1"/>
              </w:rPr>
              <w:t>8213334</w:t>
            </w:r>
          </w:p>
        </w:tc>
        <w:tc>
          <w:tcPr>
            <w:tcW w:w="1709" w:type="dxa"/>
            <w:tcBorders>
              <w:top w:val="single" w:color="000000" w:sz="4" w:space="0"/>
              <w:left w:val="single" w:color="000000" w:sz="4" w:space="0"/>
              <w:bottom w:val="single" w:color="000000" w:sz="4" w:space="0"/>
              <w:right w:val="single" w:color="000000" w:sz="2" w:space="0"/>
            </w:tcBorders>
            <w:vAlign w:val="top"/>
          </w:tcPr>
          <w:p w14:paraId="705304F0">
            <w:pPr>
              <w:pStyle w:val="12"/>
              <w:spacing w:before="123" w:line="265" w:lineRule="exact"/>
              <w:ind w:left="292"/>
              <w:rPr>
                <w:rFonts w:hint="default"/>
                <w:lang w:val="en-US" w:eastAsia="zh-CN"/>
              </w:rPr>
            </w:pPr>
            <w:r>
              <w:rPr>
                <w:rFonts w:hint="eastAsia"/>
                <w:lang w:val="en-US" w:eastAsia="zh-CN"/>
              </w:rPr>
              <w:t>18093603902</w:t>
            </w:r>
          </w:p>
        </w:tc>
      </w:tr>
      <w:tr w14:paraId="5D4D1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5674" w:type="dxa"/>
            <w:gridSpan w:val="3"/>
            <w:tcBorders>
              <w:left w:val="single" w:color="000000" w:sz="2" w:space="0"/>
            </w:tcBorders>
            <w:vAlign w:val="top"/>
          </w:tcPr>
          <w:p w14:paraId="481289EB">
            <w:pPr>
              <w:pStyle w:val="12"/>
              <w:spacing w:before="127" w:line="226" w:lineRule="auto"/>
              <w:ind w:left="1718"/>
            </w:pPr>
            <w:r>
              <w:rPr>
                <w:rFonts w:hint="eastAsia"/>
                <w:spacing w:val="6"/>
                <w:lang w:eastAsia="zh-CN"/>
              </w:rPr>
              <w:t>区委、区政府</w:t>
            </w:r>
            <w:r>
              <w:rPr>
                <w:spacing w:val="6"/>
              </w:rPr>
              <w:t>总值班室电话</w:t>
            </w:r>
          </w:p>
        </w:tc>
        <w:tc>
          <w:tcPr>
            <w:tcW w:w="3073" w:type="dxa"/>
            <w:gridSpan w:val="2"/>
            <w:tcBorders>
              <w:right w:val="single" w:color="000000" w:sz="2" w:space="0"/>
            </w:tcBorders>
            <w:vAlign w:val="top"/>
          </w:tcPr>
          <w:p w14:paraId="3C3DD24A">
            <w:pPr>
              <w:pStyle w:val="12"/>
              <w:spacing w:before="127" w:line="264" w:lineRule="exact"/>
              <w:ind w:left="1180"/>
            </w:pPr>
            <w:r>
              <w:rPr>
                <w:spacing w:val="2"/>
                <w:position w:val="1"/>
              </w:rPr>
              <w:t>8256933</w:t>
            </w:r>
          </w:p>
        </w:tc>
      </w:tr>
      <w:tr w14:paraId="4D0E3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5674" w:type="dxa"/>
            <w:gridSpan w:val="3"/>
            <w:tcBorders>
              <w:left w:val="single" w:color="000000" w:sz="2" w:space="0"/>
            </w:tcBorders>
            <w:vAlign w:val="top"/>
          </w:tcPr>
          <w:p w14:paraId="2B7EDC67">
            <w:pPr>
              <w:pStyle w:val="12"/>
              <w:spacing w:before="125" w:line="225" w:lineRule="auto"/>
              <w:ind w:left="1298"/>
            </w:pPr>
            <w:r>
              <w:rPr>
                <w:rFonts w:hint="eastAsia"/>
                <w:spacing w:val="7"/>
                <w:lang w:val="en-US" w:eastAsia="zh-CN"/>
              </w:rPr>
              <w:t>区重污染天气应急指挥部</w:t>
            </w:r>
            <w:r>
              <w:rPr>
                <w:rFonts w:hint="eastAsia"/>
                <w:spacing w:val="7"/>
                <w:lang w:eastAsia="zh-CN"/>
              </w:rPr>
              <w:t>办公室</w:t>
            </w:r>
            <w:r>
              <w:rPr>
                <w:spacing w:val="7"/>
              </w:rPr>
              <w:t>值班电话</w:t>
            </w:r>
          </w:p>
        </w:tc>
        <w:tc>
          <w:tcPr>
            <w:tcW w:w="3073" w:type="dxa"/>
            <w:gridSpan w:val="2"/>
            <w:tcBorders>
              <w:right w:val="single" w:color="000000" w:sz="2" w:space="0"/>
            </w:tcBorders>
            <w:vAlign w:val="top"/>
          </w:tcPr>
          <w:p w14:paraId="7A01F46E">
            <w:pPr>
              <w:pStyle w:val="12"/>
              <w:spacing w:before="125" w:line="264" w:lineRule="exact"/>
              <w:ind w:left="1180"/>
            </w:pPr>
            <w:r>
              <w:rPr>
                <w:spacing w:val="2"/>
                <w:position w:val="1"/>
              </w:rPr>
              <w:t>8243091</w:t>
            </w:r>
          </w:p>
        </w:tc>
      </w:tr>
      <w:tr w14:paraId="075E6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5674" w:type="dxa"/>
            <w:gridSpan w:val="3"/>
            <w:tcBorders>
              <w:left w:val="single" w:color="000000" w:sz="2" w:space="0"/>
            </w:tcBorders>
            <w:vAlign w:val="top"/>
          </w:tcPr>
          <w:p w14:paraId="21C8EEE8">
            <w:pPr>
              <w:pStyle w:val="12"/>
              <w:spacing w:before="127" w:line="225" w:lineRule="auto"/>
              <w:ind w:left="1381"/>
            </w:pPr>
            <w:r>
              <w:rPr>
                <w:spacing w:val="8"/>
              </w:rPr>
              <w:t>市生态环境局甘州分局值班电话</w:t>
            </w:r>
          </w:p>
        </w:tc>
        <w:tc>
          <w:tcPr>
            <w:tcW w:w="3073" w:type="dxa"/>
            <w:gridSpan w:val="2"/>
            <w:tcBorders>
              <w:right w:val="single" w:color="000000" w:sz="2" w:space="0"/>
            </w:tcBorders>
            <w:vAlign w:val="top"/>
          </w:tcPr>
          <w:p w14:paraId="31BCF764">
            <w:pPr>
              <w:pStyle w:val="12"/>
              <w:spacing w:before="127" w:line="234" w:lineRule="auto"/>
              <w:ind w:left="710"/>
            </w:pPr>
            <w:r>
              <w:rPr>
                <w:spacing w:val="3"/>
              </w:rPr>
              <w:t>8213334、8670009</w:t>
            </w:r>
          </w:p>
        </w:tc>
      </w:tr>
    </w:tbl>
    <w:p w14:paraId="150C54CE">
      <w:pPr>
        <w:rPr>
          <w:rFonts w:ascii="Arial" w:hAnsi="Arial" w:eastAsia="Arial" w:cs="Arial"/>
          <w:sz w:val="21"/>
          <w:szCs w:val="21"/>
        </w:rPr>
        <w:sectPr>
          <w:footerReference r:id="rId5" w:type="default"/>
          <w:pgSz w:w="11906" w:h="16839"/>
          <w:pgMar w:top="2098" w:right="1474" w:bottom="1984" w:left="1587" w:header="0" w:footer="884" w:gutter="0"/>
          <w:pgNumType w:fmt="decimal"/>
          <w:cols w:space="720" w:num="1"/>
        </w:sectPr>
      </w:pPr>
    </w:p>
    <w:p w14:paraId="6EFAEC66">
      <w:pPr>
        <w:spacing w:before="101" w:line="417" w:lineRule="exact"/>
        <w:rPr>
          <w:rFonts w:hint="eastAsia" w:ascii="黑体" w:hAnsi="黑体" w:eastAsia="黑体" w:cs="黑体"/>
          <w:sz w:val="31"/>
          <w:szCs w:val="31"/>
          <w:lang w:val="en-US" w:eastAsia="zh-CN"/>
        </w:rPr>
      </w:pPr>
    </w:p>
    <w:p w14:paraId="3E9575B2">
      <w:pPr>
        <w:spacing w:before="101" w:line="417" w:lineRule="exact"/>
        <w:rPr>
          <w:rFonts w:hint="default" w:ascii="黑体" w:hAnsi="黑体" w:eastAsia="黑体" w:cs="黑体"/>
          <w:sz w:val="31"/>
          <w:szCs w:val="31"/>
          <w:lang w:val="en-US" w:eastAsia="zh-CN"/>
        </w:rPr>
      </w:pPr>
      <w:r>
        <w:rPr>
          <w:rFonts w:hint="eastAsia" w:ascii="黑体" w:hAnsi="黑体" w:eastAsia="黑体" w:cs="黑体"/>
          <w:sz w:val="31"/>
          <w:szCs w:val="31"/>
          <w:lang w:val="en-US" w:eastAsia="zh-CN"/>
        </w:rPr>
        <w:t>附件3</w:t>
      </w:r>
    </w:p>
    <w:p w14:paraId="49D18119">
      <w:pPr>
        <w:spacing w:line="248" w:lineRule="auto"/>
        <w:rPr>
          <w:rFonts w:ascii="Arial"/>
          <w:sz w:val="21"/>
        </w:rPr>
      </w:pPr>
    </w:p>
    <w:p w14:paraId="5BE337C4">
      <w:pPr>
        <w:spacing w:before="184" w:line="189" w:lineRule="auto"/>
        <w:ind w:left="2550"/>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pacing w:val="9"/>
          <w:sz w:val="36"/>
          <w:szCs w:val="36"/>
        </w:rPr>
        <w:t>健康防护提示性信息</w:t>
      </w:r>
    </w:p>
    <w:p w14:paraId="34ED934F">
      <w:pPr>
        <w:spacing w:line="311" w:lineRule="auto"/>
        <w:rPr>
          <w:rFonts w:ascii="Arial"/>
          <w:sz w:val="21"/>
        </w:rPr>
      </w:pPr>
    </w:p>
    <w:p w14:paraId="657CEA11">
      <w:pPr>
        <w:spacing w:line="312" w:lineRule="auto"/>
        <w:rPr>
          <w:rFonts w:ascii="Arial"/>
          <w:sz w:val="21"/>
        </w:rPr>
      </w:pPr>
    </w:p>
    <w:p w14:paraId="3483DCD9">
      <w:pPr>
        <w:pStyle w:val="5"/>
        <w:keepNext w:val="0"/>
        <w:keepLines w:val="0"/>
        <w:pageBreakBefore w:val="0"/>
        <w:widowControl w:val="0"/>
        <w:kinsoku/>
        <w:wordWrap/>
        <w:overflowPunct/>
        <w:topLinePunct w:val="0"/>
        <w:autoSpaceDE/>
        <w:autoSpaceDN/>
        <w:bidi w:val="0"/>
        <w:adjustRightInd/>
        <w:snapToGrid/>
        <w:spacing w:line="560" w:lineRule="exact"/>
        <w:ind w:left="11" w:right="89"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当预测AQI日均值＞200持续一天（24小时）时，随空气质</w:t>
      </w:r>
      <w:r>
        <w:rPr>
          <w:rFonts w:hint="eastAsia" w:ascii="仿宋_GB2312" w:hAnsi="仿宋_GB2312" w:eastAsia="仿宋_GB2312" w:cs="仿宋_GB2312"/>
          <w:spacing w:val="7"/>
          <w:sz w:val="32"/>
          <w:szCs w:val="32"/>
        </w:rPr>
        <w:t>量预报信息发布健康防护提示。</w:t>
      </w:r>
    </w:p>
    <w:p w14:paraId="3207308E">
      <w:pPr>
        <w:pStyle w:val="5"/>
        <w:keepNext w:val="0"/>
        <w:keepLines w:val="0"/>
        <w:pageBreakBefore w:val="0"/>
        <w:widowControl w:val="0"/>
        <w:kinsoku/>
        <w:wordWrap/>
        <w:overflowPunct/>
        <w:topLinePunct w:val="0"/>
        <w:autoSpaceDE/>
        <w:autoSpaceDN/>
        <w:bidi w:val="0"/>
        <w:adjustRightInd/>
        <w:snapToGrid/>
        <w:spacing w:line="560" w:lineRule="exact"/>
        <w:ind w:left="3" w:right="91" w:firstLine="69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3"/>
          <w:sz w:val="32"/>
          <w:szCs w:val="32"/>
        </w:rPr>
        <w:t>①老人、儿童、孕妇及患有呼吸道、心脑血管疾病及其他慢</w:t>
      </w:r>
      <w:r>
        <w:rPr>
          <w:rFonts w:hint="eastAsia" w:ascii="仿宋_GB2312" w:hAnsi="仿宋_GB2312" w:eastAsia="仿宋_GB2312" w:cs="仿宋_GB2312"/>
          <w:spacing w:val="11"/>
          <w:sz w:val="32"/>
          <w:szCs w:val="32"/>
        </w:rPr>
        <w:t>性疾病</w:t>
      </w:r>
      <w:r>
        <w:rPr>
          <w:rFonts w:hint="eastAsia" w:ascii="仿宋_GB2312" w:hAnsi="仿宋_GB2312" w:eastAsia="仿宋_GB2312" w:cs="仿宋_GB2312"/>
          <w:spacing w:val="11"/>
          <w:sz w:val="32"/>
          <w:szCs w:val="32"/>
          <w:lang w:eastAsia="zh-CN"/>
        </w:rPr>
        <w:t>的患者</w:t>
      </w:r>
      <w:r>
        <w:rPr>
          <w:rFonts w:hint="eastAsia" w:ascii="仿宋_GB2312" w:hAnsi="仿宋_GB2312" w:eastAsia="仿宋_GB2312" w:cs="仿宋_GB2312"/>
          <w:spacing w:val="11"/>
          <w:sz w:val="32"/>
          <w:szCs w:val="32"/>
        </w:rPr>
        <w:t>应</w:t>
      </w:r>
      <w:r>
        <w:rPr>
          <w:rFonts w:hint="eastAsia" w:ascii="仿宋_GB2312" w:hAnsi="仿宋_GB2312" w:eastAsia="仿宋_GB2312" w:cs="仿宋_GB2312"/>
          <w:spacing w:val="11"/>
          <w:sz w:val="32"/>
          <w:szCs w:val="32"/>
          <w:lang w:val="en-US" w:eastAsia="zh-CN"/>
        </w:rPr>
        <w:t>留在室内，停止户外活动</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val="en-US" w:eastAsia="zh-CN"/>
        </w:rPr>
        <w:t>一般人群减少户外活动。必须外出</w:t>
      </w:r>
      <w:r>
        <w:rPr>
          <w:rFonts w:hint="eastAsia" w:ascii="仿宋_GB2312" w:hAnsi="仿宋_GB2312" w:eastAsia="仿宋_GB2312" w:cs="仿宋_GB2312"/>
          <w:spacing w:val="11"/>
          <w:sz w:val="32"/>
          <w:szCs w:val="32"/>
        </w:rPr>
        <w:t>时，可以选择佩戴口罩，</w:t>
      </w:r>
      <w:r>
        <w:rPr>
          <w:rFonts w:hint="eastAsia" w:ascii="仿宋_GB2312" w:hAnsi="仿宋_GB2312" w:eastAsia="仿宋_GB2312" w:cs="仿宋_GB2312"/>
          <w:spacing w:val="10"/>
          <w:sz w:val="32"/>
          <w:szCs w:val="32"/>
        </w:rPr>
        <w:t>注意正确佩戴，及时更换</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口罩不宜长期佩戴，如有呼吸不</w:t>
      </w:r>
      <w:r>
        <w:rPr>
          <w:rFonts w:hint="eastAsia" w:ascii="仿宋_GB2312" w:hAnsi="仿宋_GB2312" w:eastAsia="仿宋_GB2312" w:cs="仿宋_GB2312"/>
          <w:spacing w:val="9"/>
          <w:sz w:val="32"/>
          <w:szCs w:val="32"/>
        </w:rPr>
        <w:t>畅，</w:t>
      </w:r>
      <w:r>
        <w:rPr>
          <w:rFonts w:hint="eastAsia" w:ascii="仿宋_GB2312" w:hAnsi="仿宋_GB2312" w:eastAsia="仿宋_GB2312" w:cs="仿宋_GB2312"/>
          <w:spacing w:val="5"/>
          <w:sz w:val="32"/>
          <w:szCs w:val="32"/>
        </w:rPr>
        <w:t>请勿佩戴。</w:t>
      </w:r>
    </w:p>
    <w:p w14:paraId="6833E701">
      <w:pPr>
        <w:pStyle w:val="5"/>
        <w:keepNext w:val="0"/>
        <w:keepLines w:val="0"/>
        <w:pageBreakBefore w:val="0"/>
        <w:widowControl w:val="0"/>
        <w:kinsoku/>
        <w:wordWrap/>
        <w:overflowPunct/>
        <w:topLinePunct w:val="0"/>
        <w:autoSpaceDE/>
        <w:autoSpaceDN/>
        <w:bidi w:val="0"/>
        <w:adjustRightInd/>
        <w:snapToGrid/>
        <w:spacing w:line="560" w:lineRule="exact"/>
        <w:ind w:left="658" w:firstLine="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②幼儿园</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中小学及同等学历</w:t>
      </w:r>
      <w:r>
        <w:rPr>
          <w:rFonts w:hint="eastAsia" w:ascii="仿宋_GB2312" w:hAnsi="仿宋_GB2312" w:eastAsia="仿宋_GB2312" w:cs="仿宋_GB2312"/>
          <w:spacing w:val="8"/>
          <w:sz w:val="32"/>
          <w:szCs w:val="32"/>
          <w:lang w:eastAsia="zh-CN"/>
        </w:rPr>
        <w:t>教育机构</w:t>
      </w:r>
      <w:r>
        <w:rPr>
          <w:rFonts w:hint="eastAsia" w:ascii="仿宋_GB2312" w:hAnsi="仿宋_GB2312" w:eastAsia="仿宋_GB2312" w:cs="仿宋_GB2312"/>
          <w:spacing w:val="8"/>
          <w:sz w:val="32"/>
          <w:szCs w:val="32"/>
        </w:rPr>
        <w:t>减少</w:t>
      </w:r>
      <w:r>
        <w:rPr>
          <w:rFonts w:hint="eastAsia" w:ascii="仿宋_GB2312" w:hAnsi="仿宋_GB2312" w:eastAsia="仿宋_GB2312" w:cs="仿宋_GB2312"/>
          <w:spacing w:val="8"/>
          <w:sz w:val="32"/>
          <w:szCs w:val="32"/>
          <w:lang w:val="en-US" w:eastAsia="zh-CN"/>
        </w:rPr>
        <w:t>或停止</w:t>
      </w:r>
      <w:r>
        <w:rPr>
          <w:rFonts w:hint="eastAsia" w:ascii="仿宋_GB2312" w:hAnsi="仿宋_GB2312" w:eastAsia="仿宋_GB2312" w:cs="仿宋_GB2312"/>
          <w:spacing w:val="8"/>
          <w:sz w:val="32"/>
          <w:szCs w:val="32"/>
        </w:rPr>
        <w:t>户外活动。</w:t>
      </w:r>
    </w:p>
    <w:p w14:paraId="51472B4E">
      <w:pPr>
        <w:pStyle w:val="5"/>
        <w:keepNext w:val="0"/>
        <w:keepLines w:val="0"/>
        <w:pageBreakBefore w:val="0"/>
        <w:widowControl w:val="0"/>
        <w:kinsoku/>
        <w:wordWrap/>
        <w:overflowPunct/>
        <w:topLinePunct w:val="0"/>
        <w:autoSpaceDE/>
        <w:autoSpaceDN/>
        <w:bidi w:val="0"/>
        <w:adjustRightInd/>
        <w:snapToGrid/>
        <w:spacing w:line="560" w:lineRule="exact"/>
        <w:ind w:left="13" w:right="91" w:firstLine="69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3"/>
          <w:sz w:val="32"/>
          <w:szCs w:val="32"/>
        </w:rPr>
        <w:t>③不吸烟、少饮酒，选择清淡易消化的食物，少吃刺激性食</w:t>
      </w:r>
      <w:r>
        <w:rPr>
          <w:rFonts w:hint="eastAsia" w:ascii="仿宋_GB2312" w:hAnsi="仿宋_GB2312" w:eastAsia="仿宋_GB2312" w:cs="仿宋_GB2312"/>
          <w:spacing w:val="8"/>
          <w:sz w:val="32"/>
          <w:szCs w:val="32"/>
        </w:rPr>
        <w:t>物。外出后要及时清洗面部</w:t>
      </w:r>
      <w:r>
        <w:rPr>
          <w:rFonts w:hint="eastAsia" w:ascii="仿宋_GB2312" w:hAnsi="仿宋_GB2312" w:eastAsia="仿宋_GB2312" w:cs="仿宋_GB2312"/>
          <w:spacing w:val="8"/>
          <w:sz w:val="32"/>
          <w:szCs w:val="32"/>
          <w:lang w:eastAsia="zh-CN"/>
        </w:rPr>
        <w:t>和</w:t>
      </w:r>
      <w:r>
        <w:rPr>
          <w:rFonts w:hint="eastAsia" w:ascii="仿宋_GB2312" w:hAnsi="仿宋_GB2312" w:eastAsia="仿宋_GB2312" w:cs="仿宋_GB2312"/>
          <w:spacing w:val="8"/>
          <w:sz w:val="32"/>
          <w:szCs w:val="32"/>
        </w:rPr>
        <w:t>双手皮肤。</w:t>
      </w:r>
    </w:p>
    <w:p w14:paraId="592D32ED">
      <w:pPr>
        <w:pStyle w:val="5"/>
        <w:keepNext w:val="0"/>
        <w:keepLines w:val="0"/>
        <w:pageBreakBefore w:val="0"/>
        <w:widowControl w:val="0"/>
        <w:kinsoku/>
        <w:wordWrap/>
        <w:overflowPunct/>
        <w:topLinePunct w:val="0"/>
        <w:autoSpaceDE/>
        <w:autoSpaceDN/>
        <w:bidi w:val="0"/>
        <w:adjustRightInd/>
        <w:snapToGrid/>
        <w:spacing w:line="560" w:lineRule="exact"/>
        <w:ind w:firstLine="69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3"/>
          <w:sz w:val="32"/>
          <w:szCs w:val="32"/>
        </w:rPr>
        <w:t>④尽量关闭门窗</w:t>
      </w:r>
      <w:r>
        <w:rPr>
          <w:rFonts w:hint="eastAsia" w:ascii="仿宋_GB2312" w:hAnsi="仿宋_GB2312" w:eastAsia="仿宋_GB2312" w:cs="仿宋_GB2312"/>
          <w:spacing w:val="13"/>
          <w:sz w:val="32"/>
          <w:szCs w:val="32"/>
          <w:lang w:eastAsia="zh-CN"/>
        </w:rPr>
        <w:t>，</w:t>
      </w:r>
      <w:r>
        <w:rPr>
          <w:rFonts w:hint="eastAsia" w:ascii="仿宋_GB2312" w:hAnsi="仿宋_GB2312" w:eastAsia="仿宋_GB2312" w:cs="仿宋_GB2312"/>
          <w:spacing w:val="13"/>
          <w:sz w:val="32"/>
          <w:szCs w:val="32"/>
        </w:rPr>
        <w:t>避免在室内吸烟。应使用湿润的抹布、拖</w:t>
      </w:r>
      <w:r>
        <w:rPr>
          <w:rFonts w:hint="eastAsia" w:ascii="仿宋_GB2312" w:hAnsi="仿宋_GB2312" w:eastAsia="仿宋_GB2312" w:cs="仿宋_GB2312"/>
          <w:spacing w:val="5"/>
          <w:sz w:val="32"/>
          <w:szCs w:val="32"/>
        </w:rPr>
        <w:t>布打扫室内清洁，避免扬尘。减少高温下煎、炒、炸等烹调活动。</w:t>
      </w:r>
    </w:p>
    <w:p w14:paraId="44AB6072">
      <w:pPr>
        <w:pStyle w:val="5"/>
        <w:keepNext w:val="0"/>
        <w:keepLines w:val="0"/>
        <w:pageBreakBefore w:val="0"/>
        <w:widowControl w:val="0"/>
        <w:kinsoku/>
        <w:wordWrap/>
        <w:overflowPunct/>
        <w:topLinePunct w:val="0"/>
        <w:autoSpaceDE/>
        <w:autoSpaceDN/>
        <w:bidi w:val="0"/>
        <w:adjustRightInd/>
        <w:snapToGrid/>
        <w:spacing w:line="560" w:lineRule="exact"/>
        <w:ind w:left="659" w:firstLine="0"/>
        <w:textAlignment w:val="auto"/>
        <w:rPr>
          <w:rFonts w:hint="eastAsia" w:eastAsia="仿宋_GB2312"/>
          <w:lang w:eastAsia="zh-CN"/>
        </w:rPr>
        <w:sectPr>
          <w:headerReference r:id="rId6" w:type="default"/>
          <w:footerReference r:id="rId7" w:type="default"/>
          <w:pgSz w:w="11906" w:h="16839"/>
          <w:pgMar w:top="2098" w:right="1474" w:bottom="1984" w:left="1587" w:header="1826" w:footer="884" w:gutter="0"/>
          <w:pgNumType w:fmt="decimal"/>
          <w:cols w:space="720" w:num="1"/>
        </w:sectPr>
      </w:pPr>
      <w:r>
        <w:rPr>
          <w:rFonts w:hint="eastAsia" w:ascii="仿宋_GB2312" w:hAnsi="仿宋_GB2312" w:eastAsia="仿宋_GB2312" w:cs="仿宋_GB2312"/>
          <w:spacing w:val="8"/>
          <w:sz w:val="32"/>
          <w:szCs w:val="32"/>
        </w:rPr>
        <w:t>⑤主动执行公共场所禁烟条例，不在公共场所吸烟</w:t>
      </w:r>
      <w:r>
        <w:rPr>
          <w:rFonts w:hint="eastAsia" w:ascii="仿宋_GB2312" w:hAnsi="仿宋_GB2312" w:eastAsia="仿宋_GB2312" w:cs="仿宋_GB2312"/>
          <w:spacing w:val="8"/>
          <w:sz w:val="32"/>
          <w:szCs w:val="32"/>
          <w:lang w:eastAsia="zh-CN"/>
        </w:rPr>
        <w:t>。</w:t>
      </w:r>
    </w:p>
    <w:p w14:paraId="56D21AF2">
      <w:pPr>
        <w:spacing w:before="101" w:line="417" w:lineRule="exact"/>
        <w:rPr>
          <w:rFonts w:hint="eastAsia" w:ascii="黑体" w:hAnsi="黑体" w:eastAsia="黑体" w:cs="黑体"/>
          <w:sz w:val="31"/>
          <w:szCs w:val="31"/>
          <w:lang w:val="en-US" w:eastAsia="zh-CN"/>
        </w:rPr>
      </w:pPr>
      <w:r>
        <w:rPr>
          <w:rFonts w:hint="eastAsia" w:ascii="黑体" w:hAnsi="黑体" w:eastAsia="黑体" w:cs="黑体"/>
          <w:sz w:val="31"/>
          <w:szCs w:val="31"/>
          <w:lang w:val="en-US" w:eastAsia="zh-CN"/>
        </w:rPr>
        <w:t>附件4</w:t>
      </w:r>
    </w:p>
    <w:p w14:paraId="4DAAA35C">
      <w:pPr>
        <w:spacing w:before="140" w:line="165" w:lineRule="auto"/>
        <w:ind w:left="393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1"/>
          <w:sz w:val="44"/>
          <w:szCs w:val="44"/>
        </w:rPr>
        <w:t>甘州区重污染天气应急响应措施</w:t>
      </w:r>
    </w:p>
    <w:tbl>
      <w:tblPr>
        <w:tblStyle w:val="11"/>
        <w:tblW w:w="13647"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6"/>
        <w:gridCol w:w="3861"/>
        <w:gridCol w:w="4675"/>
        <w:gridCol w:w="4475"/>
      </w:tblGrid>
      <w:tr w14:paraId="28EE9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36" w:type="dxa"/>
            <w:vAlign w:val="top"/>
          </w:tcPr>
          <w:p w14:paraId="6EBD0015">
            <w:pPr>
              <w:pStyle w:val="12"/>
              <w:spacing w:before="135" w:line="218" w:lineRule="auto"/>
              <w:jc w:val="center"/>
              <w:rPr>
                <w:sz w:val="24"/>
                <w:szCs w:val="24"/>
              </w:rPr>
            </w:pPr>
            <w:r>
              <w:rPr>
                <w:b/>
                <w:bCs/>
                <w:spacing w:val="-12"/>
                <w:sz w:val="24"/>
                <w:szCs w:val="24"/>
              </w:rPr>
              <w:t>级别</w:t>
            </w:r>
          </w:p>
        </w:tc>
        <w:tc>
          <w:tcPr>
            <w:tcW w:w="3861" w:type="dxa"/>
            <w:vAlign w:val="top"/>
          </w:tcPr>
          <w:p w14:paraId="66447725">
            <w:pPr>
              <w:pStyle w:val="12"/>
              <w:spacing w:before="135" w:line="218" w:lineRule="auto"/>
              <w:ind w:left="669"/>
              <w:rPr>
                <w:sz w:val="24"/>
                <w:szCs w:val="24"/>
              </w:rPr>
            </w:pPr>
            <w:r>
              <w:rPr>
                <w:b/>
                <w:bCs/>
                <w:spacing w:val="-13"/>
                <w:sz w:val="24"/>
                <w:szCs w:val="24"/>
              </w:rPr>
              <w:t>黄色预警(Ⅲ级响应）</w:t>
            </w:r>
          </w:p>
        </w:tc>
        <w:tc>
          <w:tcPr>
            <w:tcW w:w="4675" w:type="dxa"/>
            <w:vAlign w:val="top"/>
          </w:tcPr>
          <w:p w14:paraId="2186ED84">
            <w:pPr>
              <w:pStyle w:val="12"/>
              <w:spacing w:before="135" w:line="218" w:lineRule="auto"/>
              <w:ind w:left="1143"/>
              <w:rPr>
                <w:sz w:val="24"/>
                <w:szCs w:val="24"/>
              </w:rPr>
            </w:pPr>
            <w:r>
              <w:rPr>
                <w:b/>
                <w:bCs/>
                <w:spacing w:val="-12"/>
                <w:sz w:val="24"/>
                <w:szCs w:val="24"/>
              </w:rPr>
              <w:t>橙色预警(Ⅱ级响应）</w:t>
            </w:r>
          </w:p>
        </w:tc>
        <w:tc>
          <w:tcPr>
            <w:tcW w:w="4475" w:type="dxa"/>
            <w:vAlign w:val="top"/>
          </w:tcPr>
          <w:p w14:paraId="3762B187">
            <w:pPr>
              <w:pStyle w:val="12"/>
              <w:spacing w:before="135" w:line="218" w:lineRule="auto"/>
              <w:ind w:left="1051"/>
              <w:rPr>
                <w:sz w:val="24"/>
                <w:szCs w:val="24"/>
              </w:rPr>
            </w:pPr>
            <w:r>
              <w:rPr>
                <w:b/>
                <w:bCs/>
                <w:spacing w:val="-17"/>
                <w:sz w:val="24"/>
                <w:szCs w:val="24"/>
              </w:rPr>
              <w:t>红色预警(Ⅰ级响应）</w:t>
            </w:r>
          </w:p>
        </w:tc>
      </w:tr>
      <w:tr w14:paraId="2C493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5" w:hRule="atLeast"/>
        </w:trPr>
        <w:tc>
          <w:tcPr>
            <w:tcW w:w="636" w:type="dxa"/>
            <w:vAlign w:val="top"/>
          </w:tcPr>
          <w:p w14:paraId="1942B370">
            <w:pPr>
              <w:pStyle w:val="12"/>
              <w:spacing w:before="78" w:line="461" w:lineRule="auto"/>
              <w:ind w:right="105"/>
              <w:jc w:val="distribute"/>
              <w:rPr>
                <w:rFonts w:hint="eastAsia"/>
                <w:b/>
                <w:bCs/>
                <w:sz w:val="24"/>
                <w:szCs w:val="24"/>
                <w:lang w:val="en-US" w:eastAsia="zh-CN"/>
              </w:rPr>
            </w:pPr>
          </w:p>
          <w:p w14:paraId="4640A312">
            <w:pPr>
              <w:pStyle w:val="12"/>
              <w:spacing w:before="78" w:line="461" w:lineRule="auto"/>
              <w:ind w:right="105"/>
              <w:jc w:val="distribute"/>
              <w:rPr>
                <w:rFonts w:hint="eastAsia"/>
                <w:b/>
                <w:bCs/>
                <w:sz w:val="24"/>
                <w:szCs w:val="24"/>
                <w:lang w:val="en-US" w:eastAsia="zh-CN"/>
              </w:rPr>
            </w:pPr>
          </w:p>
          <w:p w14:paraId="41B05104">
            <w:pPr>
              <w:pStyle w:val="12"/>
              <w:spacing w:before="78" w:line="461" w:lineRule="auto"/>
              <w:ind w:right="105"/>
              <w:jc w:val="distribute"/>
              <w:rPr>
                <w:rFonts w:hint="eastAsia"/>
                <w:b/>
                <w:bCs/>
                <w:sz w:val="24"/>
                <w:szCs w:val="24"/>
                <w:lang w:val="en-US" w:eastAsia="zh-CN"/>
              </w:rPr>
            </w:pPr>
          </w:p>
          <w:p w14:paraId="15697569">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健</w:t>
            </w:r>
          </w:p>
          <w:p w14:paraId="6A51D6FA">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康</w:t>
            </w:r>
          </w:p>
          <w:p w14:paraId="380045B5">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防</w:t>
            </w:r>
          </w:p>
          <w:p w14:paraId="74696E78">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护</w:t>
            </w:r>
          </w:p>
          <w:p w14:paraId="0E23AFCF">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指</w:t>
            </w:r>
          </w:p>
          <w:p w14:paraId="6A72C0BC">
            <w:pPr>
              <w:pStyle w:val="12"/>
              <w:spacing w:before="78" w:line="461" w:lineRule="auto"/>
              <w:ind w:right="105"/>
              <w:jc w:val="distribute"/>
              <w:rPr>
                <w:b/>
                <w:bCs/>
                <w:spacing w:val="-12"/>
                <w:sz w:val="24"/>
                <w:szCs w:val="24"/>
              </w:rPr>
            </w:pPr>
            <w:r>
              <w:rPr>
                <w:rFonts w:hint="eastAsia"/>
                <w:b/>
                <w:bCs/>
                <w:sz w:val="24"/>
                <w:szCs w:val="24"/>
                <w:lang w:val="en-US" w:eastAsia="zh-CN"/>
              </w:rPr>
              <w:t>引</w:t>
            </w:r>
          </w:p>
        </w:tc>
        <w:tc>
          <w:tcPr>
            <w:tcW w:w="3861" w:type="dxa"/>
            <w:vAlign w:val="top"/>
          </w:tcPr>
          <w:p w14:paraId="4E096657">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（1）提醒儿童、老年人和呼吸道、心脑血管、过敏性疾病患者等易感人群尽量留在室内，避免户外活动，确需外出必须采取防护措施。</w:t>
            </w:r>
          </w:p>
          <w:p w14:paraId="4CB35847">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（2）中小学、幼儿园及同等学历学校尽量避免户外活动。</w:t>
            </w:r>
          </w:p>
          <w:p w14:paraId="1152E1A6">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（3）一般人群减少户外活动，室外工作人员</w:t>
            </w:r>
            <w:bookmarkStart w:id="0" w:name="_GoBack"/>
            <w:r>
              <w:rPr>
                <w:spacing w:val="-1"/>
                <w:sz w:val="22"/>
                <w:szCs w:val="22"/>
              </w:rPr>
              <w:t>采取</w:t>
            </w:r>
            <w:bookmarkEnd w:id="0"/>
            <w:r>
              <w:rPr>
                <w:spacing w:val="-1"/>
                <w:sz w:val="22"/>
                <w:szCs w:val="22"/>
              </w:rPr>
              <w:t>佩戴口罩、缩短户外时间等必要的防护措施。</w:t>
            </w:r>
          </w:p>
          <w:p w14:paraId="288F40D7">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（4）从严控制举办体育运动会。</w:t>
            </w:r>
          </w:p>
          <w:p w14:paraId="5CFD6287">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b/>
                <w:bCs/>
                <w:spacing w:val="-13"/>
                <w:sz w:val="24"/>
                <w:szCs w:val="24"/>
              </w:rPr>
            </w:pPr>
            <w:r>
              <w:rPr>
                <w:spacing w:val="-1"/>
                <w:sz w:val="22"/>
                <w:szCs w:val="22"/>
              </w:rPr>
              <w:t>（5）医疗机构加强对呼吸类疾病患者的防护宣传和就医指导，加强相关疾病门（急）诊力量。</w:t>
            </w:r>
          </w:p>
        </w:tc>
        <w:tc>
          <w:tcPr>
            <w:tcW w:w="4675" w:type="dxa"/>
            <w:vAlign w:val="top"/>
          </w:tcPr>
          <w:p w14:paraId="44F50E06">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（1）提醒儿童、老年人和呼吸道、心脑血管、过敏性疾病患者等易感人群应当留在室内，避免户外活动，确需外出必须采取防护措施</w:t>
            </w:r>
            <w:r>
              <w:rPr>
                <w:rFonts w:hint="eastAsia"/>
                <w:spacing w:val="-1"/>
                <w:sz w:val="22"/>
                <w:szCs w:val="22"/>
                <w:lang w:eastAsia="zh-CN"/>
              </w:rPr>
              <w:t>。</w:t>
            </w:r>
          </w:p>
          <w:p w14:paraId="0611FFD5">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（2）中小学、幼儿园及同等学历学校停止户外课程及活动</w:t>
            </w:r>
            <w:r>
              <w:rPr>
                <w:rFonts w:hint="eastAsia"/>
                <w:spacing w:val="-1"/>
                <w:sz w:val="22"/>
                <w:szCs w:val="22"/>
                <w:lang w:eastAsia="zh-CN"/>
              </w:rPr>
              <w:t>。</w:t>
            </w:r>
          </w:p>
          <w:p w14:paraId="4CF72C21">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（3）一般人群应避免户外活动，室外工作人员采取佩戴口罩、缩短户外时间等必要的防护措施。</w:t>
            </w:r>
          </w:p>
          <w:p w14:paraId="4A956617">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（4）减少举办大型会展和文化体育等重大活动，举办大型会展和文化体育等活动时做好应急方案。</w:t>
            </w:r>
          </w:p>
          <w:p w14:paraId="5F76FEAE">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（5）禁止举办体育运动会等大型户外活动。</w:t>
            </w:r>
          </w:p>
          <w:p w14:paraId="19E7FC72">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b/>
                <w:bCs/>
                <w:spacing w:val="-12"/>
                <w:sz w:val="24"/>
                <w:szCs w:val="24"/>
              </w:rPr>
            </w:pPr>
            <w:r>
              <w:rPr>
                <w:spacing w:val="-1"/>
                <w:sz w:val="22"/>
                <w:szCs w:val="22"/>
              </w:rPr>
              <w:t>（6）医疗机构加强对呼吸类疾病患者的防护宣传和就医指导，加强相关疾病门（急）诊力量。</w:t>
            </w:r>
          </w:p>
        </w:tc>
        <w:tc>
          <w:tcPr>
            <w:tcW w:w="4475" w:type="dxa"/>
            <w:vAlign w:val="top"/>
          </w:tcPr>
          <w:p w14:paraId="6E6B6B4C">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（1）提醒儿童、老年人和呼吸道、心脑血管、过敏性疾病患者等易感人群应当留在室内，避免户外活动，确需外出必须采取防护措施。</w:t>
            </w:r>
          </w:p>
          <w:p w14:paraId="7F762123">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（2）中小学、幼儿园及同等学历学校采取弹性教学或停课等防护措施</w:t>
            </w:r>
            <w:r>
              <w:rPr>
                <w:rFonts w:hint="eastAsia"/>
                <w:spacing w:val="-1"/>
                <w:sz w:val="22"/>
                <w:szCs w:val="22"/>
                <w:lang w:eastAsia="zh-CN"/>
              </w:rPr>
              <w:t>。</w:t>
            </w:r>
          </w:p>
          <w:p w14:paraId="7D657D58">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（3）一般人群应避免户外活动，室外工作人员采取佩戴口罩、缩短户外时间等必要的防护措施；</w:t>
            </w:r>
          </w:p>
          <w:p w14:paraId="766D852A">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（4）禁止举办大型户外活动。</w:t>
            </w:r>
          </w:p>
          <w:p w14:paraId="5320D494">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b/>
                <w:bCs/>
                <w:spacing w:val="-17"/>
                <w:sz w:val="24"/>
                <w:szCs w:val="24"/>
              </w:rPr>
            </w:pPr>
            <w:r>
              <w:rPr>
                <w:spacing w:val="-1"/>
                <w:sz w:val="22"/>
                <w:szCs w:val="22"/>
              </w:rPr>
              <w:t>（5）医疗机构加强对呼吸类疾病患者的防护宣传和就医指导，加强相关疾病门（急）诊力量。</w:t>
            </w:r>
          </w:p>
        </w:tc>
      </w:tr>
      <w:tr w14:paraId="27DDE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5" w:hRule="atLeast"/>
        </w:trPr>
        <w:tc>
          <w:tcPr>
            <w:tcW w:w="636" w:type="dxa"/>
            <w:vAlign w:val="top"/>
          </w:tcPr>
          <w:p w14:paraId="6DCD3D3C">
            <w:pPr>
              <w:pStyle w:val="12"/>
              <w:spacing w:before="78" w:line="461" w:lineRule="auto"/>
              <w:ind w:right="105"/>
              <w:jc w:val="distribute"/>
              <w:rPr>
                <w:sz w:val="24"/>
                <w:szCs w:val="24"/>
              </w:rPr>
            </w:pPr>
          </w:p>
          <w:p w14:paraId="214B2E23">
            <w:pPr>
              <w:pStyle w:val="12"/>
              <w:spacing w:before="78" w:line="461" w:lineRule="auto"/>
              <w:ind w:right="105"/>
              <w:jc w:val="distribute"/>
              <w:rPr>
                <w:rFonts w:hint="eastAsia"/>
                <w:b/>
                <w:bCs/>
                <w:sz w:val="24"/>
                <w:szCs w:val="24"/>
                <w:lang w:val="en-US" w:eastAsia="zh-CN"/>
              </w:rPr>
            </w:pPr>
          </w:p>
          <w:p w14:paraId="4D354A59">
            <w:pPr>
              <w:pStyle w:val="12"/>
              <w:spacing w:before="78" w:line="461" w:lineRule="auto"/>
              <w:ind w:right="105"/>
              <w:jc w:val="distribute"/>
              <w:rPr>
                <w:rFonts w:hint="eastAsia"/>
                <w:b/>
                <w:bCs/>
                <w:sz w:val="24"/>
                <w:szCs w:val="24"/>
                <w:lang w:val="en-US" w:eastAsia="zh-CN"/>
              </w:rPr>
            </w:pPr>
          </w:p>
          <w:p w14:paraId="6C13393C">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建</w:t>
            </w:r>
          </w:p>
          <w:p w14:paraId="68B0D30C">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议</w:t>
            </w:r>
          </w:p>
          <w:p w14:paraId="2EB0EDE2">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性</w:t>
            </w:r>
          </w:p>
          <w:p w14:paraId="35859A13">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减</w:t>
            </w:r>
          </w:p>
          <w:p w14:paraId="47BB66DD">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排</w:t>
            </w:r>
          </w:p>
          <w:p w14:paraId="7727E574">
            <w:pPr>
              <w:pStyle w:val="12"/>
              <w:spacing w:before="78" w:line="461" w:lineRule="auto"/>
              <w:ind w:right="105"/>
              <w:jc w:val="distribute"/>
              <w:rPr>
                <w:rFonts w:hint="eastAsia"/>
                <w:b/>
                <w:bCs/>
                <w:sz w:val="24"/>
                <w:szCs w:val="24"/>
                <w:lang w:val="en-US" w:eastAsia="zh-CN"/>
              </w:rPr>
            </w:pPr>
            <w:r>
              <w:rPr>
                <w:rFonts w:hint="eastAsia"/>
                <w:b/>
                <w:bCs/>
                <w:sz w:val="24"/>
                <w:szCs w:val="24"/>
                <w:lang w:val="en-US" w:eastAsia="zh-CN"/>
              </w:rPr>
              <w:t>措</w:t>
            </w:r>
          </w:p>
          <w:p w14:paraId="17EE261E">
            <w:pPr>
              <w:pStyle w:val="12"/>
              <w:spacing w:before="78" w:line="461" w:lineRule="auto"/>
              <w:ind w:right="105"/>
              <w:jc w:val="distribute"/>
              <w:rPr>
                <w:rFonts w:hint="default" w:eastAsia="仿宋"/>
                <w:sz w:val="24"/>
                <w:szCs w:val="24"/>
                <w:lang w:val="en-US" w:eastAsia="zh-CN"/>
              </w:rPr>
            </w:pPr>
            <w:r>
              <w:rPr>
                <w:rFonts w:hint="eastAsia"/>
                <w:b/>
                <w:bCs/>
                <w:sz w:val="24"/>
                <w:szCs w:val="24"/>
                <w:lang w:val="en-US" w:eastAsia="zh-CN"/>
              </w:rPr>
              <w:t>施</w:t>
            </w:r>
          </w:p>
        </w:tc>
        <w:tc>
          <w:tcPr>
            <w:tcW w:w="3861" w:type="dxa"/>
            <w:vAlign w:val="top"/>
          </w:tcPr>
          <w:p w14:paraId="0A460280">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（1）倡导公众绿色出行，尽量乘坐公共交通工具出行，减少机动车上路行驶和尾气排放；驻车时及时熄火，减少车辆怠速运行时间；减少机动车日间加油。</w:t>
            </w:r>
          </w:p>
          <w:p w14:paraId="0422AAC6">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（2）加大对施工工地、裸露地面、物料堆放等场所实施扬尘控制措施力度。</w:t>
            </w:r>
          </w:p>
          <w:p w14:paraId="6F406A3B">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（3）倡导公众绿色消费，尽量减少涂料、油漆、溶剂等含挥发性有机物的原材料及产品使用。</w:t>
            </w:r>
          </w:p>
          <w:p w14:paraId="2B91D69C">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（4）排污单位采取措施，控制污染工序生产，减少污染物排放。</w:t>
            </w:r>
          </w:p>
          <w:p w14:paraId="71A3A96A">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（5）加强公交运力保障。</w:t>
            </w:r>
          </w:p>
          <w:p w14:paraId="3E273E1E">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（6）根据天气形势研判适时组织人工影响天气作业。</w:t>
            </w:r>
          </w:p>
        </w:tc>
        <w:tc>
          <w:tcPr>
            <w:tcW w:w="4675" w:type="dxa"/>
            <w:vAlign w:val="top"/>
          </w:tcPr>
          <w:p w14:paraId="72FB07F0">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（1）倡导公众绿色出行，尽量乘坐公共交通工具出行，减少机动车上路行驶和尾气排放；驻车时及时熄火，减少车辆怠速运行时间；减少机动车日间加油。</w:t>
            </w:r>
          </w:p>
          <w:p w14:paraId="43D99035">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（2）加大对施工工地、裸露地面、物料堆放等场所实施扬尘控制措施力度。</w:t>
            </w:r>
          </w:p>
          <w:p w14:paraId="76E4E986">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（3）停止涂料、油漆、溶剂等含挥发性有机物的原材料及产品使用。</w:t>
            </w:r>
          </w:p>
          <w:p w14:paraId="5525FF61">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（4）排污单位进一步采取措施，控制污染工序生产，加大优质原辅材料的使用，减少污染物排放。</w:t>
            </w:r>
          </w:p>
          <w:p w14:paraId="6AD6CE76">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（5）企事业单位可根据情况实行弹性工作制。</w:t>
            </w:r>
          </w:p>
          <w:p w14:paraId="27DF7AA3">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（6）加强公交运力保障。</w:t>
            </w:r>
          </w:p>
          <w:p w14:paraId="25804DA2">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（7）倡导公众减少能源消耗，节约用电，夏季空调温度较平日调高2</w:t>
            </w:r>
            <w:r>
              <w:rPr>
                <w:rFonts w:hint="eastAsia"/>
                <w:spacing w:val="-2"/>
                <w:sz w:val="22"/>
                <w:szCs w:val="22"/>
                <w:lang w:eastAsia="zh-CN"/>
              </w:rPr>
              <w:t>～</w:t>
            </w:r>
            <w:r>
              <w:rPr>
                <w:spacing w:val="-2"/>
                <w:sz w:val="22"/>
                <w:szCs w:val="22"/>
              </w:rPr>
              <w:t>4度，且不低于27度。</w:t>
            </w:r>
          </w:p>
          <w:p w14:paraId="29802745">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（8）根据天气形势研判适时组织人工影响天气作业。</w:t>
            </w:r>
          </w:p>
        </w:tc>
        <w:tc>
          <w:tcPr>
            <w:tcW w:w="4475" w:type="dxa"/>
            <w:vAlign w:val="top"/>
          </w:tcPr>
          <w:p w14:paraId="5A1CD375">
            <w:pPr>
              <w:pStyle w:val="12"/>
              <w:keepNext w:val="0"/>
              <w:keepLines w:val="0"/>
              <w:pageBreakBefore w:val="0"/>
              <w:widowControl w:val="0"/>
              <w:kinsoku/>
              <w:wordWrap/>
              <w:overflowPunct/>
              <w:topLinePunct w:val="0"/>
              <w:autoSpaceDE/>
              <w:autoSpaceDN/>
              <w:bidi w:val="0"/>
              <w:adjustRightInd/>
              <w:snapToGrid/>
              <w:spacing w:before="50" w:line="560" w:lineRule="exact"/>
              <w:ind w:left="107" w:right="103" w:hanging="4"/>
              <w:jc w:val="both"/>
              <w:textAlignment w:val="auto"/>
              <w:rPr>
                <w:spacing w:val="-1"/>
                <w:sz w:val="22"/>
                <w:szCs w:val="22"/>
              </w:rPr>
            </w:pPr>
            <w:r>
              <w:rPr>
                <w:spacing w:val="-1"/>
                <w:sz w:val="22"/>
                <w:szCs w:val="22"/>
              </w:rPr>
              <w:t>（1）倡导公众绿色出行，尽量乘坐公共交通工具出行，减少机动车上路行驶和尾气排放；驻车时及时熄火，减少车辆怠速运行时间</w:t>
            </w:r>
            <w:r>
              <w:rPr>
                <w:rFonts w:hint="eastAsia"/>
                <w:spacing w:val="-1"/>
                <w:sz w:val="22"/>
                <w:szCs w:val="22"/>
                <w:lang w:eastAsia="zh-CN"/>
              </w:rPr>
              <w:t>；</w:t>
            </w:r>
            <w:r>
              <w:rPr>
                <w:spacing w:val="-1"/>
                <w:sz w:val="22"/>
                <w:szCs w:val="22"/>
              </w:rPr>
              <w:t>减少机动车日间加油。</w:t>
            </w:r>
          </w:p>
          <w:p w14:paraId="3D529581">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（2）进一步加大对施工工地、裸露地面、物料堆放等场所实施扬尘控制措施力度。</w:t>
            </w:r>
          </w:p>
          <w:p w14:paraId="7F698E01">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（3）停止涂料、油漆、溶剂等含挥发性有机物的原材料及产品使用。</w:t>
            </w:r>
          </w:p>
          <w:p w14:paraId="127AB61D">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（4）排污单位进一步采取措施，控制污染工序生产，加大优质原辅材料的使用，降低生产负荷，减少污染物排放。</w:t>
            </w:r>
          </w:p>
          <w:p w14:paraId="5C402A92">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（5）企事业单位可根据情况实行弹性工作制。</w:t>
            </w:r>
          </w:p>
          <w:p w14:paraId="68700106">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（6）加强公交运力保障。</w:t>
            </w:r>
          </w:p>
          <w:p w14:paraId="0944E5B1">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（7）根据天气形势研判适时组织人工影响天气作业。</w:t>
            </w:r>
          </w:p>
          <w:p w14:paraId="45F10EA9">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（8）公众减少能源消耗，节约用电，夏季空调温度较平日调高2</w:t>
            </w:r>
            <w:r>
              <w:rPr>
                <w:rFonts w:hint="eastAsia"/>
                <w:spacing w:val="-2"/>
                <w:sz w:val="22"/>
                <w:szCs w:val="22"/>
                <w:lang w:eastAsia="zh-CN"/>
              </w:rPr>
              <w:t>～</w:t>
            </w:r>
            <w:r>
              <w:rPr>
                <w:spacing w:val="-2"/>
                <w:sz w:val="22"/>
                <w:szCs w:val="22"/>
              </w:rPr>
              <w:t>4度，且不低于27度。</w:t>
            </w:r>
          </w:p>
        </w:tc>
      </w:tr>
      <w:tr w14:paraId="20551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595" w:hRule="exact"/>
        </w:trPr>
        <w:tc>
          <w:tcPr>
            <w:tcW w:w="636" w:type="dxa"/>
            <w:vAlign w:val="top"/>
          </w:tcPr>
          <w:p w14:paraId="4DE97F77">
            <w:pPr>
              <w:pStyle w:val="12"/>
              <w:spacing w:before="78" w:line="461" w:lineRule="auto"/>
              <w:ind w:right="105" w:firstLine="197" w:firstLineChars="100"/>
              <w:jc w:val="left"/>
              <w:rPr>
                <w:b/>
                <w:bCs/>
                <w:spacing w:val="-22"/>
                <w:sz w:val="24"/>
                <w:szCs w:val="24"/>
              </w:rPr>
            </w:pPr>
          </w:p>
          <w:p w14:paraId="403D61EC">
            <w:pPr>
              <w:pStyle w:val="12"/>
              <w:spacing w:before="78" w:line="461" w:lineRule="auto"/>
              <w:ind w:right="105" w:firstLine="197" w:firstLineChars="100"/>
              <w:jc w:val="left"/>
              <w:rPr>
                <w:b/>
                <w:bCs/>
                <w:spacing w:val="-22"/>
                <w:sz w:val="24"/>
                <w:szCs w:val="24"/>
              </w:rPr>
            </w:pPr>
          </w:p>
          <w:p w14:paraId="3117409B">
            <w:pPr>
              <w:pStyle w:val="12"/>
              <w:spacing w:before="78" w:line="461" w:lineRule="auto"/>
              <w:ind w:right="105" w:firstLine="197" w:firstLineChars="100"/>
              <w:jc w:val="left"/>
              <w:rPr>
                <w:b/>
                <w:bCs/>
                <w:spacing w:val="-22"/>
                <w:sz w:val="24"/>
                <w:szCs w:val="24"/>
              </w:rPr>
            </w:pPr>
          </w:p>
          <w:p w14:paraId="3A2F9147">
            <w:pPr>
              <w:pStyle w:val="12"/>
              <w:spacing w:before="78" w:line="461" w:lineRule="auto"/>
              <w:ind w:right="105" w:firstLine="197" w:firstLineChars="100"/>
              <w:jc w:val="left"/>
              <w:rPr>
                <w:b/>
                <w:bCs/>
                <w:spacing w:val="-22"/>
                <w:sz w:val="24"/>
                <w:szCs w:val="24"/>
              </w:rPr>
            </w:pPr>
          </w:p>
          <w:p w14:paraId="268CAE93">
            <w:pPr>
              <w:pStyle w:val="12"/>
              <w:spacing w:before="78" w:line="461" w:lineRule="auto"/>
              <w:ind w:right="105" w:firstLine="197" w:firstLineChars="100"/>
              <w:jc w:val="left"/>
              <w:rPr>
                <w:b/>
                <w:bCs/>
                <w:spacing w:val="-22"/>
                <w:sz w:val="24"/>
                <w:szCs w:val="24"/>
              </w:rPr>
            </w:pPr>
            <w:r>
              <w:rPr>
                <w:b/>
                <w:bCs/>
                <w:spacing w:val="-22"/>
                <w:sz w:val="24"/>
                <w:szCs w:val="24"/>
              </w:rPr>
              <w:t>强</w:t>
            </w:r>
          </w:p>
          <w:p w14:paraId="4EEDAE08">
            <w:pPr>
              <w:pStyle w:val="12"/>
              <w:spacing w:before="78" w:line="461" w:lineRule="auto"/>
              <w:ind w:right="105" w:firstLine="197" w:firstLineChars="100"/>
              <w:jc w:val="left"/>
              <w:rPr>
                <w:b/>
                <w:bCs/>
                <w:spacing w:val="-22"/>
                <w:sz w:val="24"/>
                <w:szCs w:val="24"/>
              </w:rPr>
            </w:pPr>
            <w:r>
              <w:rPr>
                <w:b/>
                <w:bCs/>
                <w:spacing w:val="-22"/>
                <w:sz w:val="24"/>
                <w:szCs w:val="24"/>
              </w:rPr>
              <w:t>制</w:t>
            </w:r>
          </w:p>
          <w:p w14:paraId="106A1D66">
            <w:pPr>
              <w:pStyle w:val="12"/>
              <w:spacing w:before="78" w:line="461" w:lineRule="auto"/>
              <w:ind w:right="105" w:firstLine="207" w:firstLineChars="100"/>
              <w:jc w:val="left"/>
              <w:rPr>
                <w:b/>
                <w:bCs/>
                <w:spacing w:val="-17"/>
                <w:sz w:val="24"/>
                <w:szCs w:val="24"/>
              </w:rPr>
            </w:pPr>
            <w:r>
              <w:rPr>
                <w:b/>
                <w:bCs/>
                <w:spacing w:val="-17"/>
                <w:sz w:val="24"/>
                <w:szCs w:val="24"/>
              </w:rPr>
              <w:t>性</w:t>
            </w:r>
          </w:p>
          <w:p w14:paraId="189F6617">
            <w:pPr>
              <w:pStyle w:val="12"/>
              <w:spacing w:before="78" w:line="461" w:lineRule="auto"/>
              <w:ind w:right="105" w:firstLine="207" w:firstLineChars="100"/>
              <w:jc w:val="left"/>
              <w:rPr>
                <w:b/>
                <w:bCs/>
                <w:spacing w:val="-17"/>
                <w:sz w:val="24"/>
                <w:szCs w:val="24"/>
              </w:rPr>
            </w:pPr>
            <w:r>
              <w:rPr>
                <w:b/>
                <w:bCs/>
                <w:spacing w:val="-17"/>
                <w:sz w:val="24"/>
                <w:szCs w:val="24"/>
              </w:rPr>
              <w:t>减</w:t>
            </w:r>
          </w:p>
          <w:p w14:paraId="195968B8">
            <w:pPr>
              <w:pStyle w:val="12"/>
              <w:spacing w:before="78" w:line="461" w:lineRule="auto"/>
              <w:ind w:right="105" w:firstLine="205" w:firstLineChars="100"/>
              <w:jc w:val="left"/>
              <w:rPr>
                <w:b/>
                <w:bCs/>
                <w:spacing w:val="-18"/>
                <w:sz w:val="24"/>
                <w:szCs w:val="24"/>
              </w:rPr>
            </w:pPr>
            <w:r>
              <w:rPr>
                <w:b/>
                <w:bCs/>
                <w:spacing w:val="-18"/>
                <w:sz w:val="24"/>
                <w:szCs w:val="24"/>
              </w:rPr>
              <w:t>排</w:t>
            </w:r>
          </w:p>
          <w:p w14:paraId="2B4CADA1">
            <w:pPr>
              <w:pStyle w:val="12"/>
              <w:spacing w:before="78" w:line="461" w:lineRule="auto"/>
              <w:ind w:right="105" w:firstLine="205" w:firstLineChars="100"/>
              <w:jc w:val="left"/>
              <w:rPr>
                <w:b/>
                <w:bCs/>
                <w:spacing w:val="-18"/>
                <w:sz w:val="24"/>
                <w:szCs w:val="24"/>
              </w:rPr>
            </w:pPr>
            <w:r>
              <w:rPr>
                <w:b/>
                <w:bCs/>
                <w:spacing w:val="-18"/>
                <w:sz w:val="24"/>
                <w:szCs w:val="24"/>
              </w:rPr>
              <w:t>措</w:t>
            </w:r>
          </w:p>
          <w:p w14:paraId="16BB417F">
            <w:pPr>
              <w:pStyle w:val="12"/>
              <w:spacing w:before="78" w:line="461" w:lineRule="auto"/>
              <w:ind w:right="105" w:firstLine="235" w:firstLineChars="100"/>
              <w:jc w:val="left"/>
              <w:rPr>
                <w:sz w:val="24"/>
                <w:szCs w:val="24"/>
              </w:rPr>
            </w:pPr>
            <w:r>
              <w:rPr>
                <w:b/>
                <w:bCs/>
                <w:spacing w:val="-3"/>
                <w:sz w:val="24"/>
                <w:szCs w:val="24"/>
              </w:rPr>
              <w:t>施</w:t>
            </w:r>
          </w:p>
        </w:tc>
        <w:tc>
          <w:tcPr>
            <w:tcW w:w="3861" w:type="dxa"/>
            <w:vAlign w:val="top"/>
          </w:tcPr>
          <w:p w14:paraId="302897FC">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在保障城市正常运行的条件下，采取以下措施：</w:t>
            </w:r>
          </w:p>
          <w:p w14:paraId="664545D2">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（1）纳入当地重污染天气应急减排项目清单的企业，实施黄色预警下的应急减排措施。</w:t>
            </w:r>
          </w:p>
          <w:p w14:paraId="62BF7E28">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（2）城区主要道路采取科学措施，根据天气情况，加大或降低湿法作业频次，湿法作业频次降低时应适当加大吸扫作业力度。</w:t>
            </w:r>
          </w:p>
          <w:p w14:paraId="4962E6A1">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（3）对重点区域采取临时交通管制措施，加强道路通行疏导，减少因机动车排队等候引起的排气污染。</w:t>
            </w:r>
          </w:p>
          <w:p w14:paraId="5735516D">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（4）停止室外喷涂、粉刷、切割、护坡喷浆作业。</w:t>
            </w:r>
          </w:p>
          <w:p w14:paraId="08DB6286">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（5）除涉及重大民生工程、安全生产及应急抢险任务外，停止所有施工工地的土石方作业（包括：停止土石方开挖、回填、场内倒运、掺拌石灰、</w:t>
            </w:r>
          </w:p>
        </w:tc>
        <w:tc>
          <w:tcPr>
            <w:tcW w:w="4675" w:type="dxa"/>
            <w:vAlign w:val="top"/>
          </w:tcPr>
          <w:p w14:paraId="3B9D9818">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在保障城市正常运行的条件下，采取以下措施：</w:t>
            </w:r>
          </w:p>
          <w:p w14:paraId="155828D5">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（1）纳入当地重污染天气应急减排项目清单的企业，实施橙色预警下的应急减排措施。</w:t>
            </w:r>
          </w:p>
          <w:p w14:paraId="30F5A8E3">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（2）在确保电力运行调度及供热安全的前提下，适度降低燃煤发电机组运行负荷，热电联产机组严格实施“以热定电”。</w:t>
            </w:r>
          </w:p>
          <w:p w14:paraId="07FA1701">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（3）城区主要道路采取科学措施，根据天气情况，加大或降低湿法作业频次，湿法作业频次降低时应适当加大吸扫作业力度。</w:t>
            </w:r>
          </w:p>
          <w:p w14:paraId="06DDA1CE">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4）加强交通管制，对重点区域采取临时交通管制措施。禁止重型柴油货车在市区通行（特勤车辆除外），引导过境货车从G30或G312行驶通过，避开主城区。重点用车企业原则上不允许使用国四及以下重型载货汽车进出厂区（保证安全生产运行，运输民生保障物资或特殊需求产品的车辆除外）。</w:t>
            </w:r>
          </w:p>
          <w:p w14:paraId="27F06D63">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（5）停止室外喷涂、粉刷、切割、护坡喷浆作业。</w:t>
            </w:r>
          </w:p>
        </w:tc>
        <w:tc>
          <w:tcPr>
            <w:tcW w:w="4475" w:type="dxa"/>
            <w:vAlign w:val="top"/>
          </w:tcPr>
          <w:p w14:paraId="10D7078B">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在保障城市正常运行的条件下，采取以下措施：</w:t>
            </w:r>
          </w:p>
          <w:p w14:paraId="7862C2C0">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（1）纳入当地重污染天气应急减排项目清单的企业，实施红色预警下的应急减排措施。</w:t>
            </w:r>
          </w:p>
          <w:p w14:paraId="4B0B5513">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（2）在确保电力运行调度及供热安全的前提下，进一步降低燃煤发电机组运行负荷，热电联产机组严格实施“以热定电”。</w:t>
            </w:r>
          </w:p>
          <w:p w14:paraId="56AF8CD5">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（3）城区主要道路采取科学措施，根据天气情况，加大或降低湿法作业频次，湿法作业频次降低时应适当加大吸扫作业力度。</w:t>
            </w:r>
          </w:p>
          <w:p w14:paraId="6E55EA06">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（4）加强交通管制，进一步</w:t>
            </w:r>
            <w:r>
              <w:rPr>
                <w:rFonts w:hint="eastAsia"/>
                <w:spacing w:val="-2"/>
                <w:sz w:val="22"/>
                <w:szCs w:val="22"/>
                <w:lang w:eastAsia="zh-CN"/>
              </w:rPr>
              <w:t>对</w:t>
            </w:r>
            <w:r>
              <w:rPr>
                <w:spacing w:val="-2"/>
                <w:sz w:val="22"/>
                <w:szCs w:val="22"/>
              </w:rPr>
              <w:t>重点区域采取临时交通管制措施。禁止重型柴油货车在市区通行（特勤车辆除外），引导过境货车从G30或G312行驶通过，避开主城区。重点用车企业原则上不允许使用国四及以下重型载货汽车进出厂区（保证安全生产运行，运输民生保障物资或特殊需求产品的车辆除外）。</w:t>
            </w:r>
          </w:p>
          <w:p w14:paraId="3600EB46">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（5）停止室外喷涂、粉刷、切割、护坡喷浆</w:t>
            </w:r>
          </w:p>
        </w:tc>
      </w:tr>
    </w:tbl>
    <w:p w14:paraId="74A0E2A3">
      <w:pPr>
        <w:rPr>
          <w:rFonts w:ascii="Arial" w:hAnsi="Arial" w:eastAsia="Arial" w:cs="Arial"/>
          <w:sz w:val="21"/>
          <w:szCs w:val="21"/>
        </w:rPr>
        <w:sectPr>
          <w:headerReference r:id="rId8" w:type="default"/>
          <w:footerReference r:id="rId9" w:type="default"/>
          <w:pgSz w:w="16839" w:h="11906"/>
          <w:pgMar w:top="850" w:right="1531" w:bottom="567" w:left="1588" w:header="0" w:footer="884" w:gutter="0"/>
          <w:pgNumType w:fmt="decimal"/>
          <w:cols w:space="720" w:num="1"/>
        </w:sectPr>
      </w:pPr>
    </w:p>
    <w:tbl>
      <w:tblPr>
        <w:tblStyle w:val="11"/>
        <w:tblpPr w:leftFromText="180" w:rightFromText="180" w:vertAnchor="text" w:tblpX="2" w:tblpY="1"/>
        <w:tblOverlap w:val="never"/>
        <w:tblW w:w="13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4"/>
        <w:gridCol w:w="3862"/>
        <w:gridCol w:w="4675"/>
        <w:gridCol w:w="4475"/>
      </w:tblGrid>
      <w:tr w14:paraId="798DE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44" w:type="dxa"/>
            <w:vAlign w:val="top"/>
          </w:tcPr>
          <w:p w14:paraId="575C0A1B">
            <w:pPr>
              <w:pStyle w:val="12"/>
              <w:spacing w:before="134" w:line="219" w:lineRule="auto"/>
              <w:ind w:left="126"/>
              <w:rPr>
                <w:sz w:val="24"/>
                <w:szCs w:val="24"/>
              </w:rPr>
            </w:pPr>
            <w:r>
              <w:rPr>
                <w:b/>
                <w:bCs/>
                <w:spacing w:val="-12"/>
                <w:sz w:val="24"/>
                <w:szCs w:val="24"/>
              </w:rPr>
              <w:t>级别</w:t>
            </w:r>
          </w:p>
        </w:tc>
        <w:tc>
          <w:tcPr>
            <w:tcW w:w="3862" w:type="dxa"/>
            <w:vAlign w:val="top"/>
          </w:tcPr>
          <w:p w14:paraId="483DFE24">
            <w:pPr>
              <w:pStyle w:val="12"/>
              <w:spacing w:before="134" w:line="219" w:lineRule="auto"/>
              <w:ind w:left="669"/>
              <w:rPr>
                <w:sz w:val="24"/>
                <w:szCs w:val="24"/>
              </w:rPr>
            </w:pPr>
            <w:r>
              <w:rPr>
                <w:b/>
                <w:bCs/>
                <w:spacing w:val="-13"/>
                <w:sz w:val="24"/>
                <w:szCs w:val="24"/>
              </w:rPr>
              <w:t>黄色预警(Ⅲ级响应）</w:t>
            </w:r>
          </w:p>
        </w:tc>
        <w:tc>
          <w:tcPr>
            <w:tcW w:w="4675" w:type="dxa"/>
            <w:vAlign w:val="top"/>
          </w:tcPr>
          <w:p w14:paraId="3A9F2165">
            <w:pPr>
              <w:pStyle w:val="12"/>
              <w:spacing w:before="134" w:line="219" w:lineRule="auto"/>
              <w:ind w:left="1143"/>
              <w:rPr>
                <w:sz w:val="24"/>
                <w:szCs w:val="24"/>
              </w:rPr>
            </w:pPr>
            <w:r>
              <w:rPr>
                <w:b/>
                <w:bCs/>
                <w:spacing w:val="-12"/>
                <w:sz w:val="24"/>
                <w:szCs w:val="24"/>
              </w:rPr>
              <w:t>橙色预警(Ⅱ级响应）</w:t>
            </w:r>
          </w:p>
        </w:tc>
        <w:tc>
          <w:tcPr>
            <w:tcW w:w="4475" w:type="dxa"/>
            <w:vAlign w:val="top"/>
          </w:tcPr>
          <w:p w14:paraId="219ACCB5">
            <w:pPr>
              <w:pStyle w:val="12"/>
              <w:spacing w:before="134" w:line="219" w:lineRule="auto"/>
              <w:ind w:left="1051"/>
              <w:rPr>
                <w:sz w:val="24"/>
                <w:szCs w:val="24"/>
              </w:rPr>
            </w:pPr>
            <w:r>
              <w:rPr>
                <w:b/>
                <w:bCs/>
                <w:spacing w:val="-17"/>
                <w:sz w:val="24"/>
                <w:szCs w:val="24"/>
              </w:rPr>
              <w:t>红色预警(Ⅰ级响应）</w:t>
            </w:r>
          </w:p>
        </w:tc>
      </w:tr>
      <w:tr w14:paraId="287BB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1" w:hRule="atLeast"/>
        </w:trPr>
        <w:tc>
          <w:tcPr>
            <w:tcW w:w="644" w:type="dxa"/>
            <w:vAlign w:val="top"/>
          </w:tcPr>
          <w:p w14:paraId="712BE758">
            <w:pPr>
              <w:pStyle w:val="12"/>
              <w:spacing w:before="78" w:line="461" w:lineRule="auto"/>
              <w:ind w:right="105" w:firstLine="197" w:firstLineChars="100"/>
              <w:jc w:val="left"/>
              <w:rPr>
                <w:b/>
                <w:bCs/>
                <w:spacing w:val="-22"/>
                <w:sz w:val="24"/>
                <w:szCs w:val="24"/>
              </w:rPr>
            </w:pPr>
          </w:p>
          <w:p w14:paraId="043F850B">
            <w:pPr>
              <w:pStyle w:val="12"/>
              <w:spacing w:before="78" w:line="461" w:lineRule="auto"/>
              <w:ind w:right="105" w:firstLine="197" w:firstLineChars="100"/>
              <w:jc w:val="left"/>
              <w:rPr>
                <w:b/>
                <w:bCs/>
                <w:spacing w:val="-22"/>
                <w:sz w:val="24"/>
                <w:szCs w:val="24"/>
              </w:rPr>
            </w:pPr>
          </w:p>
          <w:p w14:paraId="6D7A524B">
            <w:pPr>
              <w:pStyle w:val="12"/>
              <w:spacing w:before="78" w:line="461" w:lineRule="auto"/>
              <w:ind w:right="105" w:firstLine="197" w:firstLineChars="100"/>
              <w:jc w:val="left"/>
              <w:rPr>
                <w:b/>
                <w:bCs/>
                <w:spacing w:val="-22"/>
                <w:sz w:val="24"/>
                <w:szCs w:val="24"/>
              </w:rPr>
            </w:pPr>
          </w:p>
          <w:p w14:paraId="66166808">
            <w:pPr>
              <w:pStyle w:val="12"/>
              <w:spacing w:before="78" w:line="461" w:lineRule="auto"/>
              <w:ind w:right="105" w:firstLine="197" w:firstLineChars="100"/>
              <w:jc w:val="left"/>
              <w:rPr>
                <w:b/>
                <w:bCs/>
                <w:spacing w:val="-22"/>
                <w:sz w:val="24"/>
                <w:szCs w:val="24"/>
              </w:rPr>
            </w:pPr>
          </w:p>
          <w:p w14:paraId="0BC636E9">
            <w:pPr>
              <w:pStyle w:val="12"/>
              <w:spacing w:before="78" w:line="461" w:lineRule="auto"/>
              <w:ind w:right="105" w:firstLine="197" w:firstLineChars="100"/>
              <w:jc w:val="left"/>
              <w:rPr>
                <w:b/>
                <w:bCs/>
                <w:spacing w:val="-22"/>
                <w:sz w:val="24"/>
                <w:szCs w:val="24"/>
              </w:rPr>
            </w:pPr>
            <w:r>
              <w:rPr>
                <w:b/>
                <w:bCs/>
                <w:spacing w:val="-22"/>
                <w:sz w:val="24"/>
                <w:szCs w:val="24"/>
              </w:rPr>
              <w:t>强</w:t>
            </w:r>
          </w:p>
          <w:p w14:paraId="2059EEDD">
            <w:pPr>
              <w:pStyle w:val="12"/>
              <w:spacing w:before="78" w:line="461" w:lineRule="auto"/>
              <w:ind w:right="105" w:firstLine="197" w:firstLineChars="100"/>
              <w:jc w:val="left"/>
              <w:rPr>
                <w:b/>
                <w:bCs/>
                <w:spacing w:val="-22"/>
                <w:sz w:val="24"/>
                <w:szCs w:val="24"/>
              </w:rPr>
            </w:pPr>
            <w:r>
              <w:rPr>
                <w:b/>
                <w:bCs/>
                <w:spacing w:val="-22"/>
                <w:sz w:val="24"/>
                <w:szCs w:val="24"/>
              </w:rPr>
              <w:t>制</w:t>
            </w:r>
          </w:p>
          <w:p w14:paraId="4E118166">
            <w:pPr>
              <w:pStyle w:val="12"/>
              <w:spacing w:before="78" w:line="461" w:lineRule="auto"/>
              <w:ind w:right="105" w:firstLine="207" w:firstLineChars="100"/>
              <w:jc w:val="left"/>
              <w:rPr>
                <w:b/>
                <w:bCs/>
                <w:spacing w:val="-17"/>
                <w:sz w:val="24"/>
                <w:szCs w:val="24"/>
              </w:rPr>
            </w:pPr>
            <w:r>
              <w:rPr>
                <w:b/>
                <w:bCs/>
                <w:spacing w:val="-17"/>
                <w:sz w:val="24"/>
                <w:szCs w:val="24"/>
              </w:rPr>
              <w:t>性</w:t>
            </w:r>
          </w:p>
          <w:p w14:paraId="4DC89962">
            <w:pPr>
              <w:pStyle w:val="12"/>
              <w:spacing w:before="78" w:line="461" w:lineRule="auto"/>
              <w:ind w:right="105" w:firstLine="207" w:firstLineChars="100"/>
              <w:jc w:val="left"/>
              <w:rPr>
                <w:b/>
                <w:bCs/>
                <w:spacing w:val="-17"/>
                <w:sz w:val="24"/>
                <w:szCs w:val="24"/>
              </w:rPr>
            </w:pPr>
            <w:r>
              <w:rPr>
                <w:b/>
                <w:bCs/>
                <w:spacing w:val="-17"/>
                <w:sz w:val="24"/>
                <w:szCs w:val="24"/>
              </w:rPr>
              <w:t>减</w:t>
            </w:r>
          </w:p>
          <w:p w14:paraId="6670DC57">
            <w:pPr>
              <w:pStyle w:val="12"/>
              <w:spacing w:before="78" w:line="461" w:lineRule="auto"/>
              <w:ind w:right="105" w:firstLine="205" w:firstLineChars="100"/>
              <w:jc w:val="left"/>
              <w:rPr>
                <w:b/>
                <w:bCs/>
                <w:spacing w:val="-18"/>
                <w:sz w:val="24"/>
                <w:szCs w:val="24"/>
              </w:rPr>
            </w:pPr>
            <w:r>
              <w:rPr>
                <w:b/>
                <w:bCs/>
                <w:spacing w:val="-18"/>
                <w:sz w:val="24"/>
                <w:szCs w:val="24"/>
              </w:rPr>
              <w:t>排</w:t>
            </w:r>
          </w:p>
          <w:p w14:paraId="5FFFACB8">
            <w:pPr>
              <w:pStyle w:val="12"/>
              <w:spacing w:before="78" w:line="461" w:lineRule="auto"/>
              <w:ind w:right="105" w:firstLine="205" w:firstLineChars="100"/>
              <w:jc w:val="left"/>
              <w:rPr>
                <w:b/>
                <w:bCs/>
                <w:spacing w:val="-18"/>
                <w:sz w:val="24"/>
                <w:szCs w:val="24"/>
              </w:rPr>
            </w:pPr>
            <w:r>
              <w:rPr>
                <w:b/>
                <w:bCs/>
                <w:spacing w:val="-18"/>
                <w:sz w:val="24"/>
                <w:szCs w:val="24"/>
              </w:rPr>
              <w:t>措</w:t>
            </w:r>
          </w:p>
          <w:p w14:paraId="51BC3A50">
            <w:pPr>
              <w:pStyle w:val="12"/>
              <w:spacing w:before="78" w:line="461" w:lineRule="auto"/>
              <w:ind w:right="105" w:firstLine="235" w:firstLineChars="100"/>
              <w:jc w:val="left"/>
              <w:rPr>
                <w:rFonts w:ascii="Arial"/>
                <w:sz w:val="21"/>
              </w:rPr>
            </w:pPr>
            <w:r>
              <w:rPr>
                <w:b/>
                <w:bCs/>
                <w:spacing w:val="-3"/>
                <w:sz w:val="24"/>
                <w:szCs w:val="24"/>
              </w:rPr>
              <w:t>施</w:t>
            </w:r>
          </w:p>
        </w:tc>
        <w:tc>
          <w:tcPr>
            <w:tcW w:w="3862" w:type="dxa"/>
            <w:vAlign w:val="top"/>
          </w:tcPr>
          <w:p w14:paraId="6A9680C7">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混凝土剔凿等作业，停止建筑工程配套道路和管沟开挖作业），各工地配备的雾喷、雾炮系统全部开启并不间断作业（如遇雨天，根据雨量大小</w:t>
            </w:r>
            <w:r>
              <w:rPr>
                <w:rFonts w:hint="eastAsia"/>
                <w:spacing w:val="-2"/>
                <w:sz w:val="22"/>
                <w:szCs w:val="22"/>
                <w:lang w:eastAsia="zh-CN"/>
              </w:rPr>
              <w:t>做</w:t>
            </w:r>
            <w:r>
              <w:rPr>
                <w:spacing w:val="-2"/>
                <w:sz w:val="22"/>
                <w:szCs w:val="22"/>
              </w:rPr>
              <w:t>适当调整）。</w:t>
            </w:r>
          </w:p>
          <w:p w14:paraId="11579ED3">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（6）除涉及重大民生工程、安全生产及应急抢险任务外，停止使用国二及以下非道路移动机械（纯电动机械除外）；全面停止建筑垃圾和渣土运输车、砂石运输车辆上路行驶。</w:t>
            </w:r>
          </w:p>
          <w:p w14:paraId="10DFBA6E">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（7）除涉及重大民生工程、安全生产及应急抢险任务外，所有水泥粉磨站、渣土存放点全面停止生产、运行；全区混凝土搅拌站和砂浆搅拌站停止生产，站内堆放的散体物料全部苫盖，增加洒水降尘频次。</w:t>
            </w:r>
          </w:p>
          <w:p w14:paraId="786A1858">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（8）矿山、砂石料厂、石材厂、石板厂等停止露天作业。</w:t>
            </w:r>
          </w:p>
          <w:p w14:paraId="520F1971">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（9）严禁烟花爆竹燃放、露天烧烤，以及露天焚烧垃圾、秸秆等生物质和废弃物。</w:t>
            </w:r>
          </w:p>
        </w:tc>
        <w:tc>
          <w:tcPr>
            <w:tcW w:w="4675" w:type="dxa"/>
            <w:vAlign w:val="top"/>
          </w:tcPr>
          <w:p w14:paraId="3F6C5FF7">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6）除涉及重大民生工程、安全生产及应急抢险任务外，停止所有施工工地的土石方作业（包括：停止土石方开挖、回填、场内倒运、掺拌石灰、混凝土剔凿等作业，停止建筑工程配套道路和管沟开挖作业），各工地配备的雾喷、雾炮系统全部开启并不间断作业（如遇雨天，根据雨量大小</w:t>
            </w:r>
            <w:r>
              <w:rPr>
                <w:rFonts w:hint="eastAsia"/>
                <w:spacing w:val="-2"/>
                <w:sz w:val="22"/>
                <w:szCs w:val="22"/>
                <w:lang w:eastAsia="zh-CN"/>
              </w:rPr>
              <w:t>做</w:t>
            </w:r>
            <w:r>
              <w:rPr>
                <w:spacing w:val="-2"/>
                <w:sz w:val="22"/>
                <w:szCs w:val="22"/>
              </w:rPr>
              <w:t>适当调整）。</w:t>
            </w:r>
          </w:p>
          <w:p w14:paraId="596B7470">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（7）除涉及重大民生工程、安全生产及应急抢险任务外，停止使用国二及以下非道路移动机械（纯电动机械除外）；全面停止建筑垃圾和渣土运输车、砂石运输车辆上路行驶。</w:t>
            </w:r>
          </w:p>
          <w:p w14:paraId="17C00B02">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（8）除涉及重大民生工程、安全生产及应急抢险任务外，所有水泥粉磨站、渣土存放点全面停止生产、运行；全区混凝土搅拌站和砂浆搅拌站停止生产，站内堆放的散体物料全部苫盖，增加洒水降尘频次。</w:t>
            </w:r>
          </w:p>
          <w:p w14:paraId="29D202DF">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（9）矿山、砂石料厂、石材厂、石板厂等停止露天作业。</w:t>
            </w:r>
          </w:p>
          <w:p w14:paraId="7072ADC0">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（10）严禁烟花爆竹燃放、露天烧烤，以及露天焚烧垃圾、秸秆等生物质和废弃物。</w:t>
            </w:r>
          </w:p>
        </w:tc>
        <w:tc>
          <w:tcPr>
            <w:tcW w:w="4475" w:type="dxa"/>
            <w:vAlign w:val="top"/>
          </w:tcPr>
          <w:p w14:paraId="181B3E0B">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作业。</w:t>
            </w:r>
          </w:p>
          <w:p w14:paraId="17CBC6C8">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6）除涉及重大民生工程、安全生产及应急抢险任务外，停止所有可能产生大气污染的与建筑工程有关的生产活动（塔吊、地下施工等不产生大气污染物的工序除外），各工地配备的雾喷、雾炮系统全部开启并不间断作业（如遇雨天，根据雨量大小</w:t>
            </w:r>
            <w:r>
              <w:rPr>
                <w:rFonts w:hint="eastAsia"/>
                <w:spacing w:val="-2"/>
                <w:sz w:val="22"/>
                <w:szCs w:val="22"/>
                <w:lang w:eastAsia="zh-CN"/>
              </w:rPr>
              <w:t>做</w:t>
            </w:r>
            <w:r>
              <w:rPr>
                <w:spacing w:val="-2"/>
                <w:sz w:val="22"/>
                <w:szCs w:val="22"/>
              </w:rPr>
              <w:t>适当调整</w:t>
            </w:r>
            <w:r>
              <w:rPr>
                <w:rFonts w:hint="eastAsia"/>
                <w:spacing w:val="-2"/>
                <w:sz w:val="22"/>
                <w:szCs w:val="22"/>
                <w:lang w:eastAsia="zh-CN"/>
              </w:rPr>
              <w:t>）。</w:t>
            </w:r>
          </w:p>
          <w:p w14:paraId="6F6CC06B">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（7）除涉及重大民生工程、安全生产及应急抢险任务外，停止使用国二及以下非道路移动机械（纯电动机械除外）；全面停止建筑垃圾和渣土运输车、砂石运输车辆上路行驶。</w:t>
            </w:r>
          </w:p>
          <w:p w14:paraId="270DC948">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（8）除涉及重大民生工程、安全生产及应急抢险任务外，所有水泥粉磨站、渣土存放点全面停止生产、运行；全区混凝土搅拌站和砂浆搅拌站停止生产，站内堆放的散体物料全部苫盖，增加洒水降尘频次。</w:t>
            </w:r>
          </w:p>
          <w:p w14:paraId="1CD1ADF3">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pacing w:val="-2"/>
                <w:sz w:val="22"/>
                <w:szCs w:val="22"/>
              </w:rPr>
            </w:pPr>
            <w:r>
              <w:rPr>
                <w:spacing w:val="-2"/>
                <w:sz w:val="22"/>
                <w:szCs w:val="22"/>
              </w:rPr>
              <w:t>（9）矿山、砂石料厂、石材厂、石板厂等停止露天作业。</w:t>
            </w:r>
          </w:p>
          <w:p w14:paraId="7D467526">
            <w:pPr>
              <w:pStyle w:val="12"/>
              <w:keepNext w:val="0"/>
              <w:keepLines w:val="0"/>
              <w:pageBreakBefore w:val="0"/>
              <w:widowControl w:val="0"/>
              <w:kinsoku/>
              <w:wordWrap/>
              <w:overflowPunct/>
              <w:topLinePunct w:val="0"/>
              <w:autoSpaceDE/>
              <w:autoSpaceDN/>
              <w:bidi w:val="0"/>
              <w:adjustRightInd/>
              <w:snapToGrid/>
              <w:spacing w:before="1" w:line="560" w:lineRule="exact"/>
              <w:ind w:left="116" w:right="103" w:hanging="13"/>
              <w:jc w:val="both"/>
              <w:textAlignment w:val="auto"/>
              <w:rPr>
                <w:sz w:val="22"/>
                <w:szCs w:val="22"/>
              </w:rPr>
            </w:pPr>
            <w:r>
              <w:rPr>
                <w:spacing w:val="-2"/>
                <w:sz w:val="22"/>
                <w:szCs w:val="22"/>
              </w:rPr>
              <w:t>（10）严禁烟花爆竹燃放、露天烧烤，以及露天焚烧垃圾、秸秆等生物质和废弃物。</w:t>
            </w:r>
          </w:p>
        </w:tc>
      </w:tr>
    </w:tbl>
    <w:p w14:paraId="647AC043">
      <w:pPr>
        <w:spacing w:before="101" w:line="417" w:lineRule="exact"/>
        <w:rPr>
          <w:rFonts w:hint="eastAsia" w:ascii="黑体" w:hAnsi="黑体" w:eastAsia="黑体" w:cs="黑体"/>
          <w:sz w:val="31"/>
          <w:szCs w:val="31"/>
          <w:lang w:val="en-US" w:eastAsia="zh-CN"/>
        </w:rPr>
      </w:pPr>
    </w:p>
    <w:p w14:paraId="3D124111">
      <w:pPr>
        <w:pStyle w:val="2"/>
        <w:rPr>
          <w:rFonts w:hint="eastAsia" w:ascii="黑体" w:hAnsi="黑体" w:eastAsia="黑体" w:cs="黑体"/>
          <w:sz w:val="31"/>
          <w:szCs w:val="31"/>
          <w:lang w:val="en-US" w:eastAsia="zh-CN"/>
        </w:rPr>
      </w:pPr>
    </w:p>
    <w:p w14:paraId="338B4B5F">
      <w:pPr>
        <w:rPr>
          <w:rFonts w:hint="eastAsia" w:ascii="黑体" w:hAnsi="黑体" w:eastAsia="黑体" w:cs="黑体"/>
          <w:sz w:val="31"/>
          <w:szCs w:val="31"/>
          <w:lang w:val="en-US" w:eastAsia="zh-CN"/>
        </w:rPr>
      </w:pPr>
    </w:p>
    <w:p w14:paraId="50F38235">
      <w:pPr>
        <w:pStyle w:val="2"/>
        <w:rPr>
          <w:rFonts w:hint="eastAsia" w:ascii="黑体" w:hAnsi="黑体" w:eastAsia="黑体" w:cs="黑体"/>
          <w:sz w:val="31"/>
          <w:szCs w:val="31"/>
          <w:lang w:val="en-US" w:eastAsia="zh-CN"/>
        </w:rPr>
      </w:pPr>
    </w:p>
    <w:p w14:paraId="02A8E4B0">
      <w:pPr>
        <w:rPr>
          <w:rFonts w:hint="eastAsia" w:ascii="黑体" w:hAnsi="黑体" w:eastAsia="黑体" w:cs="黑体"/>
          <w:sz w:val="31"/>
          <w:szCs w:val="31"/>
          <w:lang w:val="en-US" w:eastAsia="zh-CN"/>
        </w:rPr>
      </w:pPr>
    </w:p>
    <w:p w14:paraId="026B9946">
      <w:pPr>
        <w:pStyle w:val="2"/>
        <w:rPr>
          <w:rFonts w:hint="eastAsia" w:ascii="黑体" w:hAnsi="黑体" w:eastAsia="黑体" w:cs="黑体"/>
          <w:sz w:val="31"/>
          <w:szCs w:val="31"/>
          <w:lang w:val="en-US" w:eastAsia="zh-CN"/>
        </w:rPr>
      </w:pPr>
    </w:p>
    <w:p w14:paraId="1ED11CA4">
      <w:pPr>
        <w:rPr>
          <w:rFonts w:hint="eastAsia" w:ascii="黑体" w:hAnsi="黑体" w:eastAsia="黑体" w:cs="黑体"/>
          <w:sz w:val="31"/>
          <w:szCs w:val="31"/>
          <w:lang w:val="en-US" w:eastAsia="zh-CN"/>
        </w:rPr>
      </w:pPr>
    </w:p>
    <w:p w14:paraId="633D2D05">
      <w:pPr>
        <w:pStyle w:val="2"/>
        <w:rPr>
          <w:rFonts w:hint="eastAsia"/>
          <w:lang w:val="en-US" w:eastAsia="zh-CN"/>
        </w:rPr>
      </w:pPr>
    </w:p>
    <w:p w14:paraId="3E1F795E">
      <w:pPr>
        <w:rPr>
          <w:rFonts w:hint="eastAsia" w:ascii="黑体" w:hAnsi="黑体" w:eastAsia="黑体" w:cs="黑体"/>
          <w:sz w:val="31"/>
          <w:szCs w:val="31"/>
          <w:lang w:val="en-US" w:eastAsia="zh-CN"/>
        </w:rPr>
      </w:pPr>
    </w:p>
    <w:p w14:paraId="17415E40">
      <w:pPr>
        <w:rPr>
          <w:rFonts w:hint="eastAsia"/>
          <w:lang w:val="en-US" w:eastAsia="zh-CN"/>
        </w:rPr>
      </w:pPr>
      <w:r>
        <w:rPr>
          <w:rFonts w:hint="eastAsia"/>
          <w:lang w:val="en-US" w:eastAsia="zh-CN"/>
        </w:rPr>
        <w:br w:type="page"/>
      </w:r>
    </w:p>
    <w:p w14:paraId="0CC2A505">
      <w:pPr>
        <w:rPr>
          <w:rFonts w:hint="eastAsia"/>
          <w:lang w:val="en-US" w:eastAsia="zh-CN"/>
        </w:rPr>
        <w:sectPr>
          <w:footerReference r:id="rId10" w:type="default"/>
          <w:pgSz w:w="16838" w:h="11906" w:orient="landscape"/>
          <w:pgMar w:top="850" w:right="1587" w:bottom="567" w:left="1587" w:header="851" w:footer="992" w:gutter="0"/>
          <w:pgNumType w:fmt="decimal"/>
          <w:cols w:space="425" w:num="1"/>
          <w:docGrid w:type="lines" w:linePitch="312" w:charSpace="0"/>
        </w:sectPr>
      </w:pPr>
    </w:p>
    <w:p w14:paraId="7717ADA2">
      <w:pPr>
        <w:spacing w:before="101" w:line="417" w:lineRule="exact"/>
        <w:rPr>
          <w:rFonts w:hint="default" w:ascii="黑体" w:hAnsi="黑体" w:eastAsia="黑体" w:cs="黑体"/>
          <w:sz w:val="31"/>
          <w:szCs w:val="31"/>
          <w:lang w:val="en-US" w:eastAsia="zh-CN"/>
        </w:rPr>
      </w:pPr>
      <w:r>
        <w:rPr>
          <w:rFonts w:hint="eastAsia" w:ascii="黑体" w:hAnsi="黑体" w:eastAsia="黑体" w:cs="黑体"/>
          <w:sz w:val="31"/>
          <w:szCs w:val="31"/>
          <w:lang w:val="en-US" w:eastAsia="zh-CN"/>
        </w:rPr>
        <w:t>附件5</w:t>
      </w:r>
    </w:p>
    <w:p w14:paraId="5718B1E9">
      <w:pPr>
        <w:spacing w:before="87" w:line="208" w:lineRule="auto"/>
        <w:ind w:left="1214" w:firstLine="448" w:firstLineChars="100"/>
        <w:rPr>
          <w:rFonts w:ascii="微软雅黑" w:hAnsi="微软雅黑" w:eastAsia="微软雅黑" w:cs="微软雅黑"/>
          <w:spacing w:val="9"/>
          <w:sz w:val="43"/>
          <w:szCs w:val="43"/>
        </w:rPr>
      </w:pPr>
      <w:r>
        <w:rPr>
          <w:rFonts w:ascii="微软雅黑" w:hAnsi="微软雅黑" w:eastAsia="微软雅黑" w:cs="微软雅黑"/>
          <w:spacing w:val="9"/>
          <w:sz w:val="43"/>
          <w:szCs w:val="43"/>
        </w:rPr>
        <w:t>甘州区重污染天气应急响应流程图</w:t>
      </w:r>
    </w:p>
    <w:p w14:paraId="4A3360EA">
      <w:pPr>
        <w:pStyle w:val="2"/>
        <w:rPr>
          <w:rFonts w:hint="eastAsia"/>
          <w:lang w:val="en-US" w:eastAsia="zh-CN"/>
        </w:rPr>
      </w:pPr>
      <w:r>
        <w:rPr>
          <w:position w:val="-229"/>
        </w:rPr>
        <w:drawing>
          <wp:anchor distT="0" distB="0" distL="0" distR="0" simplePos="0" relativeHeight="251661312" behindDoc="0" locked="0" layoutInCell="1" allowOverlap="1">
            <wp:simplePos x="0" y="0"/>
            <wp:positionH relativeFrom="column">
              <wp:posOffset>595630</wp:posOffset>
            </wp:positionH>
            <wp:positionV relativeFrom="paragraph">
              <wp:posOffset>7620</wp:posOffset>
            </wp:positionV>
            <wp:extent cx="5098415" cy="6791960"/>
            <wp:effectExtent l="0" t="0" r="6985" b="5080"/>
            <wp:wrapSquare wrapText="bothSides"/>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3"/>
                    <a:stretch>
                      <a:fillRect/>
                    </a:stretch>
                  </pic:blipFill>
                  <pic:spPr>
                    <a:xfrm>
                      <a:off x="0" y="0"/>
                      <a:ext cx="5098415" cy="6791960"/>
                    </a:xfrm>
                    <a:prstGeom prst="rect">
                      <a:avLst/>
                    </a:prstGeom>
                  </pic:spPr>
                </pic:pic>
              </a:graphicData>
            </a:graphic>
          </wp:anchor>
        </w:drawing>
      </w:r>
    </w:p>
    <w:p w14:paraId="05DFACA3">
      <w:pPr>
        <w:rPr>
          <w:rFonts w:hint="eastAsia"/>
          <w:lang w:val="en-US" w:eastAsia="zh-CN"/>
        </w:rPr>
      </w:pPr>
    </w:p>
    <w:p w14:paraId="362B0F59">
      <w:pPr>
        <w:pStyle w:val="2"/>
        <w:rPr>
          <w:rFonts w:hint="eastAsia"/>
          <w:lang w:val="en-US" w:eastAsia="zh-CN"/>
        </w:rPr>
      </w:pPr>
    </w:p>
    <w:p w14:paraId="026AA2AB">
      <w:pPr>
        <w:rPr>
          <w:rFonts w:hint="eastAsia"/>
          <w:lang w:val="en-US" w:eastAsia="zh-CN"/>
        </w:rPr>
      </w:pPr>
    </w:p>
    <w:p w14:paraId="1DB3FAB9">
      <w:pPr>
        <w:pStyle w:val="2"/>
        <w:rPr>
          <w:rFonts w:hint="eastAsia"/>
          <w:lang w:val="en-US" w:eastAsia="zh-CN"/>
        </w:rPr>
      </w:pPr>
    </w:p>
    <w:p w14:paraId="669225F4">
      <w:pPr>
        <w:rPr>
          <w:rFonts w:hint="eastAsia"/>
          <w:lang w:val="en-US" w:eastAsia="zh-CN"/>
        </w:rPr>
      </w:pPr>
    </w:p>
    <w:p w14:paraId="1C42A30A">
      <w:pPr>
        <w:pStyle w:val="2"/>
        <w:rPr>
          <w:rFonts w:hint="eastAsia"/>
          <w:lang w:val="en-US" w:eastAsia="zh-CN"/>
        </w:rPr>
      </w:pPr>
    </w:p>
    <w:p w14:paraId="5CB63CCD">
      <w:pPr>
        <w:rPr>
          <w:rFonts w:hint="eastAsia"/>
          <w:lang w:val="en-US" w:eastAsia="zh-CN"/>
        </w:rPr>
      </w:pPr>
    </w:p>
    <w:p w14:paraId="551426FD">
      <w:pPr>
        <w:pStyle w:val="2"/>
        <w:rPr>
          <w:rFonts w:hint="eastAsia"/>
          <w:lang w:val="en-US" w:eastAsia="zh-CN"/>
        </w:rPr>
      </w:pPr>
    </w:p>
    <w:sectPr>
      <w:pgSz w:w="11906" w:h="16838"/>
      <w:pgMar w:top="1587" w:right="567" w:bottom="1587" w:left="85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62BF8AE-B50D-4B71-95DF-3B337C7D58BF}"/>
  </w:font>
  <w:font w:name="黑体">
    <w:panose1 w:val="02010609060101010101"/>
    <w:charset w:val="86"/>
    <w:family w:val="auto"/>
    <w:pitch w:val="default"/>
    <w:sig w:usb0="800002BF" w:usb1="38CF7CFA" w:usb2="00000016" w:usb3="00000000" w:csb0="00040001" w:csb1="00000000"/>
    <w:embedRegular r:id="rId2" w:fontKey="{6C5C1065-09A1-466F-A4EF-2CB59A362C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3" w:fontKey="{EECB67D1-9EA2-44FC-8E66-3E4555E36B6A}"/>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4" w:fontKey="{A6228112-FBBA-4E17-8813-797A7CCE860E}"/>
  </w:font>
  <w:font w:name="仿宋_GB2312">
    <w:panose1 w:val="02010609030101010101"/>
    <w:charset w:val="86"/>
    <w:family w:val="auto"/>
    <w:pitch w:val="default"/>
    <w:sig w:usb0="00000001" w:usb1="080E0000" w:usb2="00000000" w:usb3="00000000" w:csb0="00040000" w:csb1="00000000"/>
    <w:embedRegular r:id="rId5" w:fontKey="{78863967-7F05-4563-8512-B6AB4CCEF2C9}"/>
  </w:font>
  <w:font w:name="方正小标宋简体">
    <w:panose1 w:val="02000000000000000000"/>
    <w:charset w:val="86"/>
    <w:family w:val="auto"/>
    <w:pitch w:val="default"/>
    <w:sig w:usb0="00000001" w:usb1="08000000" w:usb2="00000000" w:usb3="00000000" w:csb0="00040000" w:csb1="00000000"/>
    <w:embedRegular r:id="rId6" w:fontKey="{714D2C08-101F-4881-B5DD-EBE72325BBB3}"/>
  </w:font>
  <w:font w:name="方正仿宋_GB2312">
    <w:panose1 w:val="02000000000000000000"/>
    <w:charset w:val="86"/>
    <w:family w:val="auto"/>
    <w:pitch w:val="default"/>
    <w:sig w:usb0="A00002BF" w:usb1="184F6CFA" w:usb2="00000012" w:usb3="00000000" w:csb0="00040001" w:csb1="00000000"/>
    <w:embedRegular r:id="rId7" w:fontKey="{2BA80C54-BCDF-40DA-92B5-299441CE13F7}"/>
  </w:font>
  <w:font w:name="微软雅黑">
    <w:panose1 w:val="020B0503020204020204"/>
    <w:charset w:val="86"/>
    <w:family w:val="auto"/>
    <w:pitch w:val="default"/>
    <w:sig w:usb0="80000287" w:usb1="2ACF3C50" w:usb2="00000016" w:usb3="00000000" w:csb0="0004001F" w:csb1="00000000"/>
    <w:embedRegular r:id="rId8" w:fontKey="{E569308E-E708-45E2-9B1F-C9A29A61CD8C}"/>
  </w:font>
  <w:font w:name="方正小标宋_GBK">
    <w:panose1 w:val="02000000000000000000"/>
    <w:charset w:val="86"/>
    <w:family w:val="auto"/>
    <w:pitch w:val="default"/>
    <w:sig w:usb0="A00002BF" w:usb1="38CF7CFA" w:usb2="00082016" w:usb3="00000000" w:csb0="00040001" w:csb1="00000000"/>
    <w:embedRegular r:id="rId9" w:fontKey="{A02C23D8-9AB2-4BA4-B8A0-BEAF46527D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E56A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7AD19">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07AD19">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EA318">
    <w:pPr>
      <w:spacing w:line="194" w:lineRule="auto"/>
      <w:jc w:val="right"/>
      <w:rPr>
        <w:rFonts w:ascii="Arial" w:hAnsi="Arial" w:eastAsia="Arial" w:cs="Arial"/>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BAC71">
                          <w:pPr>
                            <w:pStyle w:val="6"/>
                          </w:pPr>
                          <w:r>
                            <w:t xml:space="preserve">— </w:t>
                          </w:r>
                          <w:r>
                            <w:fldChar w:fldCharType="begin"/>
                          </w:r>
                          <w:r>
                            <w:instrText xml:space="preserve"> PAGE  \* MERGEFORMAT </w:instrText>
                          </w:r>
                          <w:r>
                            <w:fldChar w:fldCharType="separate"/>
                          </w:r>
                          <w:r>
                            <w:t>25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9BAC71">
                    <w:pPr>
                      <w:pStyle w:val="6"/>
                    </w:pPr>
                    <w:r>
                      <w:t xml:space="preserve">— </w:t>
                    </w:r>
                    <w:r>
                      <w:fldChar w:fldCharType="begin"/>
                    </w:r>
                    <w:r>
                      <w:instrText xml:space="preserve"> PAGE  \* MERGEFORMAT </w:instrText>
                    </w:r>
                    <w:r>
                      <w:fldChar w:fldCharType="separate"/>
                    </w:r>
                    <w:r>
                      <w:t>25</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95103">
    <w:pPr>
      <w:pStyle w:val="6"/>
      <w:rPr>
        <w:rFonts w:ascii="Arial" w:hAnsi="Arial" w:eastAsia="Arial" w:cs="Arial"/>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1B055">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26</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131B055">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26</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17848">
    <w:pPr>
      <w:spacing w:line="194" w:lineRule="auto"/>
      <w:ind w:left="8337"/>
      <w:rPr>
        <w:rFonts w:ascii="Arial" w:hAnsi="Arial" w:eastAsia="Arial" w:cs="Arial"/>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A693A">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28</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6A693A">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28</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5F85">
    <w:pPr>
      <w:spacing w:line="194" w:lineRule="auto"/>
      <w:ind w:left="127"/>
      <w:rPr>
        <w:rFonts w:ascii="Arial" w:hAnsi="Arial" w:eastAsia="Arial" w:cs="Arial"/>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1D94">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BC1D94">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63BD4">
    <w:pPr>
      <w:spacing w:line="194" w:lineRule="auto"/>
      <w:ind w:left="127"/>
      <w:rPr>
        <w:rFonts w:ascii="Arial" w:hAnsi="Arial" w:eastAsia="Arial" w:cs="Arial"/>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902EF">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34902EF">
                    <w:pPr>
                      <w:pStyle w:val="6"/>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3FE68">
    <w:pPr>
      <w:spacing w:before="68" w:line="412" w:lineRule="exact"/>
      <w:ind w:left="23"/>
      <w:rPr>
        <w:rFonts w:ascii="黑体" w:hAnsi="黑体" w:eastAsia="黑体" w:cs="黑体"/>
        <w:sz w:val="31"/>
        <w:szCs w:val="3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4665E">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87FE3"/>
    <w:rsid w:val="005F38DE"/>
    <w:rsid w:val="00AB5647"/>
    <w:rsid w:val="01E164D4"/>
    <w:rsid w:val="02696283"/>
    <w:rsid w:val="02C16911"/>
    <w:rsid w:val="02DA750A"/>
    <w:rsid w:val="0304067F"/>
    <w:rsid w:val="031221D8"/>
    <w:rsid w:val="03261EB9"/>
    <w:rsid w:val="037D4AC6"/>
    <w:rsid w:val="03B03B10"/>
    <w:rsid w:val="0423676B"/>
    <w:rsid w:val="042807E2"/>
    <w:rsid w:val="044D110F"/>
    <w:rsid w:val="04752428"/>
    <w:rsid w:val="048146F4"/>
    <w:rsid w:val="04A91589"/>
    <w:rsid w:val="04C05F24"/>
    <w:rsid w:val="04C87066"/>
    <w:rsid w:val="05761434"/>
    <w:rsid w:val="05BF3D7B"/>
    <w:rsid w:val="05D55F1F"/>
    <w:rsid w:val="06021ED4"/>
    <w:rsid w:val="0622059D"/>
    <w:rsid w:val="072004C0"/>
    <w:rsid w:val="0795267D"/>
    <w:rsid w:val="07A0301B"/>
    <w:rsid w:val="07B92C3C"/>
    <w:rsid w:val="07BC3BC1"/>
    <w:rsid w:val="082C0402"/>
    <w:rsid w:val="08640C24"/>
    <w:rsid w:val="08A16ACD"/>
    <w:rsid w:val="092709E3"/>
    <w:rsid w:val="098E58FB"/>
    <w:rsid w:val="09EE29F6"/>
    <w:rsid w:val="0A0B50CF"/>
    <w:rsid w:val="0A157218"/>
    <w:rsid w:val="0A5E7D79"/>
    <w:rsid w:val="0A883CD4"/>
    <w:rsid w:val="0AE04FBF"/>
    <w:rsid w:val="0B0F7383"/>
    <w:rsid w:val="0B13676A"/>
    <w:rsid w:val="0B286835"/>
    <w:rsid w:val="0B3C3711"/>
    <w:rsid w:val="0B774EE9"/>
    <w:rsid w:val="0B8C5B00"/>
    <w:rsid w:val="0BA76BE2"/>
    <w:rsid w:val="0C083FBC"/>
    <w:rsid w:val="0C2D3828"/>
    <w:rsid w:val="0E386CD9"/>
    <w:rsid w:val="0E3F3599"/>
    <w:rsid w:val="0E581497"/>
    <w:rsid w:val="0E8D3EEF"/>
    <w:rsid w:val="0EBB5316"/>
    <w:rsid w:val="0EF406C8"/>
    <w:rsid w:val="0F6B2258"/>
    <w:rsid w:val="10054FEF"/>
    <w:rsid w:val="103F0670"/>
    <w:rsid w:val="10612472"/>
    <w:rsid w:val="11017E3D"/>
    <w:rsid w:val="118D733C"/>
    <w:rsid w:val="11D77D1A"/>
    <w:rsid w:val="11E06E41"/>
    <w:rsid w:val="12392615"/>
    <w:rsid w:val="126C75D4"/>
    <w:rsid w:val="12A90B17"/>
    <w:rsid w:val="12D31F47"/>
    <w:rsid w:val="12E13E89"/>
    <w:rsid w:val="13366C04"/>
    <w:rsid w:val="1399374C"/>
    <w:rsid w:val="13DB4EE2"/>
    <w:rsid w:val="13DD2BC4"/>
    <w:rsid w:val="148B0641"/>
    <w:rsid w:val="148F28CB"/>
    <w:rsid w:val="14D81587"/>
    <w:rsid w:val="15092BFD"/>
    <w:rsid w:val="15B6012F"/>
    <w:rsid w:val="16103CC1"/>
    <w:rsid w:val="16884C04"/>
    <w:rsid w:val="16B32B8F"/>
    <w:rsid w:val="170B516B"/>
    <w:rsid w:val="173A026B"/>
    <w:rsid w:val="17654071"/>
    <w:rsid w:val="17F86A56"/>
    <w:rsid w:val="18247EA8"/>
    <w:rsid w:val="184461DF"/>
    <w:rsid w:val="18964006"/>
    <w:rsid w:val="18D65DF2"/>
    <w:rsid w:val="19FE5DCD"/>
    <w:rsid w:val="1A4F7538"/>
    <w:rsid w:val="1A880997"/>
    <w:rsid w:val="1ADC0D35"/>
    <w:rsid w:val="1B0267BC"/>
    <w:rsid w:val="1B9F015F"/>
    <w:rsid w:val="1BC60184"/>
    <w:rsid w:val="1BC65F68"/>
    <w:rsid w:val="1C0F1353"/>
    <w:rsid w:val="1C7134B8"/>
    <w:rsid w:val="1C8408BB"/>
    <w:rsid w:val="1C8C318D"/>
    <w:rsid w:val="1CEC5C03"/>
    <w:rsid w:val="1CFB4B98"/>
    <w:rsid w:val="1D245D5D"/>
    <w:rsid w:val="1D4E0C67"/>
    <w:rsid w:val="1D741997"/>
    <w:rsid w:val="1DE55F0B"/>
    <w:rsid w:val="1DF8703A"/>
    <w:rsid w:val="1EEC631C"/>
    <w:rsid w:val="1F8B3432"/>
    <w:rsid w:val="200307FA"/>
    <w:rsid w:val="20207CC4"/>
    <w:rsid w:val="208A1F3E"/>
    <w:rsid w:val="208F56BE"/>
    <w:rsid w:val="21117017"/>
    <w:rsid w:val="2113309E"/>
    <w:rsid w:val="211755B8"/>
    <w:rsid w:val="212C5BFF"/>
    <w:rsid w:val="217C2286"/>
    <w:rsid w:val="219A2374"/>
    <w:rsid w:val="21CE6705"/>
    <w:rsid w:val="21E47391"/>
    <w:rsid w:val="2240793E"/>
    <w:rsid w:val="22BB2971"/>
    <w:rsid w:val="22C41308"/>
    <w:rsid w:val="2386615A"/>
    <w:rsid w:val="238E494F"/>
    <w:rsid w:val="24D10F97"/>
    <w:rsid w:val="2524364E"/>
    <w:rsid w:val="253432D4"/>
    <w:rsid w:val="2537799C"/>
    <w:rsid w:val="25745350"/>
    <w:rsid w:val="25A94B3C"/>
    <w:rsid w:val="25DF7546"/>
    <w:rsid w:val="27055E8E"/>
    <w:rsid w:val="27564F1D"/>
    <w:rsid w:val="27A943D1"/>
    <w:rsid w:val="27B222AE"/>
    <w:rsid w:val="27FB5F25"/>
    <w:rsid w:val="28125B4B"/>
    <w:rsid w:val="28902B77"/>
    <w:rsid w:val="28E726AB"/>
    <w:rsid w:val="2909285F"/>
    <w:rsid w:val="29381B18"/>
    <w:rsid w:val="29710BAB"/>
    <w:rsid w:val="2988071C"/>
    <w:rsid w:val="29A2755B"/>
    <w:rsid w:val="29D35562"/>
    <w:rsid w:val="2A2158AB"/>
    <w:rsid w:val="2A643A13"/>
    <w:rsid w:val="2A700EAD"/>
    <w:rsid w:val="2A764BD5"/>
    <w:rsid w:val="2B567EA6"/>
    <w:rsid w:val="2C347D7F"/>
    <w:rsid w:val="2CF51ED1"/>
    <w:rsid w:val="2DB256DE"/>
    <w:rsid w:val="2DB7418D"/>
    <w:rsid w:val="2DF90AA0"/>
    <w:rsid w:val="2E323AD6"/>
    <w:rsid w:val="2EDB0A6C"/>
    <w:rsid w:val="2F062BB5"/>
    <w:rsid w:val="2F4D56BE"/>
    <w:rsid w:val="2F9B27B8"/>
    <w:rsid w:val="2FF344B8"/>
    <w:rsid w:val="30121DEE"/>
    <w:rsid w:val="30DC72B8"/>
    <w:rsid w:val="310F0A0C"/>
    <w:rsid w:val="31393DCE"/>
    <w:rsid w:val="31576C02"/>
    <w:rsid w:val="315B5608"/>
    <w:rsid w:val="31690420"/>
    <w:rsid w:val="318F6462"/>
    <w:rsid w:val="31A65BBC"/>
    <w:rsid w:val="31AA329C"/>
    <w:rsid w:val="324A521D"/>
    <w:rsid w:val="32B97394"/>
    <w:rsid w:val="32F90662"/>
    <w:rsid w:val="33067842"/>
    <w:rsid w:val="332F3C2D"/>
    <w:rsid w:val="336D0FA8"/>
    <w:rsid w:val="33C817B8"/>
    <w:rsid w:val="34646885"/>
    <w:rsid w:val="3483696B"/>
    <w:rsid w:val="349A52B1"/>
    <w:rsid w:val="34C1339B"/>
    <w:rsid w:val="34F2648E"/>
    <w:rsid w:val="35301450"/>
    <w:rsid w:val="357C62C0"/>
    <w:rsid w:val="35E96681"/>
    <w:rsid w:val="360A3D3D"/>
    <w:rsid w:val="3631746C"/>
    <w:rsid w:val="3640095E"/>
    <w:rsid w:val="3672363D"/>
    <w:rsid w:val="368F6E0E"/>
    <w:rsid w:val="36D27D8D"/>
    <w:rsid w:val="36F001F0"/>
    <w:rsid w:val="373B5CA2"/>
    <w:rsid w:val="37742325"/>
    <w:rsid w:val="37A24C61"/>
    <w:rsid w:val="381825D9"/>
    <w:rsid w:val="3831783F"/>
    <w:rsid w:val="38B36B14"/>
    <w:rsid w:val="39705767"/>
    <w:rsid w:val="397D0C70"/>
    <w:rsid w:val="398A6B77"/>
    <w:rsid w:val="39964B88"/>
    <w:rsid w:val="39CC4CDD"/>
    <w:rsid w:val="39D624C5"/>
    <w:rsid w:val="39FB0130"/>
    <w:rsid w:val="3A1478C6"/>
    <w:rsid w:val="3A956CA9"/>
    <w:rsid w:val="3B2E7228"/>
    <w:rsid w:val="3BAF1187"/>
    <w:rsid w:val="3BD94FD7"/>
    <w:rsid w:val="3BDA7340"/>
    <w:rsid w:val="3C5E539B"/>
    <w:rsid w:val="3C7B6ECA"/>
    <w:rsid w:val="3C9074B5"/>
    <w:rsid w:val="3D7529B0"/>
    <w:rsid w:val="3D89645B"/>
    <w:rsid w:val="3E0B50C2"/>
    <w:rsid w:val="3E2B3A12"/>
    <w:rsid w:val="3ED3772C"/>
    <w:rsid w:val="3ED75FA2"/>
    <w:rsid w:val="3EDB421B"/>
    <w:rsid w:val="3F3F36A7"/>
    <w:rsid w:val="3F8E7D59"/>
    <w:rsid w:val="3FA57E6B"/>
    <w:rsid w:val="3FDB6D16"/>
    <w:rsid w:val="3FE86B66"/>
    <w:rsid w:val="40094B1C"/>
    <w:rsid w:val="40146731"/>
    <w:rsid w:val="406C133E"/>
    <w:rsid w:val="408269BE"/>
    <w:rsid w:val="40F761A9"/>
    <w:rsid w:val="416D1BF0"/>
    <w:rsid w:val="41E84D8F"/>
    <w:rsid w:val="420207C8"/>
    <w:rsid w:val="42212F8E"/>
    <w:rsid w:val="425E0AD1"/>
    <w:rsid w:val="42B51AC8"/>
    <w:rsid w:val="437A2DE9"/>
    <w:rsid w:val="43A645BE"/>
    <w:rsid w:val="43DF0CA2"/>
    <w:rsid w:val="43E50640"/>
    <w:rsid w:val="4576619C"/>
    <w:rsid w:val="45946363"/>
    <w:rsid w:val="45C37C0A"/>
    <w:rsid w:val="45DF58F6"/>
    <w:rsid w:val="45F57156"/>
    <w:rsid w:val="4698770F"/>
    <w:rsid w:val="46AC15EB"/>
    <w:rsid w:val="472033C0"/>
    <w:rsid w:val="474D5189"/>
    <w:rsid w:val="47880AE0"/>
    <w:rsid w:val="47962FFF"/>
    <w:rsid w:val="47C550EB"/>
    <w:rsid w:val="485F62CB"/>
    <w:rsid w:val="48710218"/>
    <w:rsid w:val="4889710F"/>
    <w:rsid w:val="48986E1F"/>
    <w:rsid w:val="48EA5EAF"/>
    <w:rsid w:val="490C15C9"/>
    <w:rsid w:val="4995285F"/>
    <w:rsid w:val="49D30149"/>
    <w:rsid w:val="4AF97BDF"/>
    <w:rsid w:val="4AFD2F9A"/>
    <w:rsid w:val="4AFD4615"/>
    <w:rsid w:val="4B58121B"/>
    <w:rsid w:val="4C0C69EC"/>
    <w:rsid w:val="4CB15087"/>
    <w:rsid w:val="4CB571EA"/>
    <w:rsid w:val="4CC52826"/>
    <w:rsid w:val="4CCA439B"/>
    <w:rsid w:val="4CD4421B"/>
    <w:rsid w:val="4CD66EB3"/>
    <w:rsid w:val="4CDC1628"/>
    <w:rsid w:val="4D387820"/>
    <w:rsid w:val="4D913E48"/>
    <w:rsid w:val="4E0B6496"/>
    <w:rsid w:val="4E655FC9"/>
    <w:rsid w:val="4EFD55F3"/>
    <w:rsid w:val="4F254080"/>
    <w:rsid w:val="4FB22FE1"/>
    <w:rsid w:val="500D4CCA"/>
    <w:rsid w:val="50290A0F"/>
    <w:rsid w:val="502C5217"/>
    <w:rsid w:val="506F4906"/>
    <w:rsid w:val="50B052BC"/>
    <w:rsid w:val="50CC1778"/>
    <w:rsid w:val="50F626E2"/>
    <w:rsid w:val="51084510"/>
    <w:rsid w:val="51186119"/>
    <w:rsid w:val="512E60BF"/>
    <w:rsid w:val="5144296E"/>
    <w:rsid w:val="51742FB0"/>
    <w:rsid w:val="51784EA0"/>
    <w:rsid w:val="520C0506"/>
    <w:rsid w:val="5285086E"/>
    <w:rsid w:val="52CE44E6"/>
    <w:rsid w:val="539B3C3A"/>
    <w:rsid w:val="53E45333"/>
    <w:rsid w:val="541A5AD5"/>
    <w:rsid w:val="541E0990"/>
    <w:rsid w:val="545F13F9"/>
    <w:rsid w:val="547D1CF3"/>
    <w:rsid w:val="54A23167"/>
    <w:rsid w:val="54E23F51"/>
    <w:rsid w:val="54F363EA"/>
    <w:rsid w:val="551E42D2"/>
    <w:rsid w:val="556C4241"/>
    <w:rsid w:val="557F6508"/>
    <w:rsid w:val="55983288"/>
    <w:rsid w:val="55A90FF1"/>
    <w:rsid w:val="55AF16AF"/>
    <w:rsid w:val="55B177EA"/>
    <w:rsid w:val="55F43710"/>
    <w:rsid w:val="56575206"/>
    <w:rsid w:val="5699213A"/>
    <w:rsid w:val="56CE6A8E"/>
    <w:rsid w:val="56DC0F52"/>
    <w:rsid w:val="57A37CC2"/>
    <w:rsid w:val="57B34E87"/>
    <w:rsid w:val="57B65C47"/>
    <w:rsid w:val="57C87729"/>
    <w:rsid w:val="57EF3BD4"/>
    <w:rsid w:val="585D4315"/>
    <w:rsid w:val="58E2665F"/>
    <w:rsid w:val="58F24A5D"/>
    <w:rsid w:val="59A33FA9"/>
    <w:rsid w:val="59E17ECD"/>
    <w:rsid w:val="59E5080C"/>
    <w:rsid w:val="59EA4C93"/>
    <w:rsid w:val="5A586F9B"/>
    <w:rsid w:val="5A6432D8"/>
    <w:rsid w:val="5AC36B81"/>
    <w:rsid w:val="5B4900D3"/>
    <w:rsid w:val="5B615779"/>
    <w:rsid w:val="5B94144C"/>
    <w:rsid w:val="5BF92B0E"/>
    <w:rsid w:val="5C1A7DA7"/>
    <w:rsid w:val="5CAC586B"/>
    <w:rsid w:val="5CB54DA6"/>
    <w:rsid w:val="5CFF3025"/>
    <w:rsid w:val="5D2E60F1"/>
    <w:rsid w:val="5D4E2409"/>
    <w:rsid w:val="5D975399"/>
    <w:rsid w:val="5DBF724B"/>
    <w:rsid w:val="5EA507C4"/>
    <w:rsid w:val="5EAA3F5C"/>
    <w:rsid w:val="5EAD2101"/>
    <w:rsid w:val="5ECE0C99"/>
    <w:rsid w:val="5ED602A4"/>
    <w:rsid w:val="5EEB267A"/>
    <w:rsid w:val="5F0121FE"/>
    <w:rsid w:val="5F1801D9"/>
    <w:rsid w:val="5F681446"/>
    <w:rsid w:val="5FA131F0"/>
    <w:rsid w:val="60471B32"/>
    <w:rsid w:val="60475DB3"/>
    <w:rsid w:val="60913EE6"/>
    <w:rsid w:val="610D1F57"/>
    <w:rsid w:val="613B6814"/>
    <w:rsid w:val="614800A8"/>
    <w:rsid w:val="61687FE3"/>
    <w:rsid w:val="619F6539"/>
    <w:rsid w:val="61EE2B52"/>
    <w:rsid w:val="626D17B1"/>
    <w:rsid w:val="62971D39"/>
    <w:rsid w:val="62EF6174"/>
    <w:rsid w:val="631F416F"/>
    <w:rsid w:val="63440DE8"/>
    <w:rsid w:val="63481713"/>
    <w:rsid w:val="635A7823"/>
    <w:rsid w:val="637B6D43"/>
    <w:rsid w:val="63860958"/>
    <w:rsid w:val="63E56E61"/>
    <w:rsid w:val="63F95413"/>
    <w:rsid w:val="64204F45"/>
    <w:rsid w:val="642124B8"/>
    <w:rsid w:val="654C11BD"/>
    <w:rsid w:val="658F2F2B"/>
    <w:rsid w:val="661C009D"/>
    <w:rsid w:val="66234B2A"/>
    <w:rsid w:val="66372649"/>
    <w:rsid w:val="668B4BF2"/>
    <w:rsid w:val="675A043F"/>
    <w:rsid w:val="68370BAF"/>
    <w:rsid w:val="684B40A8"/>
    <w:rsid w:val="68764772"/>
    <w:rsid w:val="68D23088"/>
    <w:rsid w:val="694839E2"/>
    <w:rsid w:val="69840C99"/>
    <w:rsid w:val="69D0701B"/>
    <w:rsid w:val="6A0955AD"/>
    <w:rsid w:val="6A617F58"/>
    <w:rsid w:val="6AE10A1A"/>
    <w:rsid w:val="6B33736F"/>
    <w:rsid w:val="6B5A0F93"/>
    <w:rsid w:val="6B747DD8"/>
    <w:rsid w:val="6B984B15"/>
    <w:rsid w:val="6BD04C6F"/>
    <w:rsid w:val="6C523D39"/>
    <w:rsid w:val="6C7528AD"/>
    <w:rsid w:val="6C86425A"/>
    <w:rsid w:val="6DDD4D4F"/>
    <w:rsid w:val="6DE5298B"/>
    <w:rsid w:val="6DFF2D05"/>
    <w:rsid w:val="6E385050"/>
    <w:rsid w:val="6EF74444"/>
    <w:rsid w:val="6F693184"/>
    <w:rsid w:val="6F9603E0"/>
    <w:rsid w:val="70036D9D"/>
    <w:rsid w:val="70645780"/>
    <w:rsid w:val="72123515"/>
    <w:rsid w:val="72131EB6"/>
    <w:rsid w:val="72572EF3"/>
    <w:rsid w:val="728B515C"/>
    <w:rsid w:val="728C7B94"/>
    <w:rsid w:val="729016F0"/>
    <w:rsid w:val="72C154D1"/>
    <w:rsid w:val="72DE41C4"/>
    <w:rsid w:val="739545B0"/>
    <w:rsid w:val="73CC4A8A"/>
    <w:rsid w:val="73FF07E0"/>
    <w:rsid w:val="74D23FB8"/>
    <w:rsid w:val="75121D63"/>
    <w:rsid w:val="752F399F"/>
    <w:rsid w:val="756103A4"/>
    <w:rsid w:val="75640639"/>
    <w:rsid w:val="756957B0"/>
    <w:rsid w:val="75753F23"/>
    <w:rsid w:val="758E68E9"/>
    <w:rsid w:val="758F7BEE"/>
    <w:rsid w:val="75EE3BA9"/>
    <w:rsid w:val="76406B64"/>
    <w:rsid w:val="765F11C0"/>
    <w:rsid w:val="76B466CC"/>
    <w:rsid w:val="76D45C74"/>
    <w:rsid w:val="76D54682"/>
    <w:rsid w:val="77370CFA"/>
    <w:rsid w:val="775B087A"/>
    <w:rsid w:val="77731088"/>
    <w:rsid w:val="780008EC"/>
    <w:rsid w:val="782C0658"/>
    <w:rsid w:val="78586D7C"/>
    <w:rsid w:val="785A227F"/>
    <w:rsid w:val="7898373B"/>
    <w:rsid w:val="78B8118C"/>
    <w:rsid w:val="78DF4BA6"/>
    <w:rsid w:val="7997516A"/>
    <w:rsid w:val="7A406348"/>
    <w:rsid w:val="7A6D153A"/>
    <w:rsid w:val="7A925C48"/>
    <w:rsid w:val="7AB47055"/>
    <w:rsid w:val="7B3B2338"/>
    <w:rsid w:val="7BA3043B"/>
    <w:rsid w:val="7BA3331B"/>
    <w:rsid w:val="7BF10F58"/>
    <w:rsid w:val="7C2E3178"/>
    <w:rsid w:val="7C43522B"/>
    <w:rsid w:val="7C6158D2"/>
    <w:rsid w:val="7CEF35A8"/>
    <w:rsid w:val="7D3053E4"/>
    <w:rsid w:val="7D7A1B55"/>
    <w:rsid w:val="7D960C66"/>
    <w:rsid w:val="7D9E04A9"/>
    <w:rsid w:val="7E377B22"/>
    <w:rsid w:val="7E5106CC"/>
    <w:rsid w:val="7E6E21FA"/>
    <w:rsid w:val="7EFB0260"/>
    <w:rsid w:val="7F015C77"/>
    <w:rsid w:val="7F47690F"/>
    <w:rsid w:val="7F657A81"/>
    <w:rsid w:val="7FFF7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Lines="0" w:beforeAutospacing="0" w:afterLines="0" w:afterAutospacing="0" w:line="560" w:lineRule="exact"/>
      <w:ind w:firstLine="420" w:firstLineChars="200"/>
      <w:outlineLvl w:val="1"/>
    </w:pPr>
    <w:rPr>
      <w:rFonts w:ascii="楷体_GB2312" w:hAnsi="楷体_GB2312" w:eastAsia="楷体_GB2312"/>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Heading6"/>
    <w:basedOn w:val="1"/>
    <w:next w:val="1"/>
    <w:autoRedefine/>
    <w:qFormat/>
    <w:uiPriority w:val="0"/>
    <w:pPr>
      <w:keepNext/>
      <w:keepLines/>
      <w:spacing w:before="240" w:beforeLines="0" w:after="64" w:afterLines="0" w:line="317" w:lineRule="auto"/>
    </w:pPr>
    <w:rPr>
      <w:rFonts w:ascii="Cambria" w:hAnsi="Cambria" w:cs="Times New Roman"/>
      <w:b/>
      <w:bCs/>
      <w:sz w:val="24"/>
    </w:rPr>
  </w:style>
  <w:style w:type="paragraph" w:styleId="4">
    <w:name w:val="annotation text"/>
    <w:basedOn w:val="1"/>
    <w:qFormat/>
    <w:uiPriority w:val="0"/>
    <w:pPr>
      <w:jc w:val="left"/>
    </w:p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qFormat/>
    <w:uiPriority w:val="0"/>
    <w:pPr>
      <w:kinsoku w:val="0"/>
      <w:autoSpaceDE w:val="0"/>
      <w:autoSpaceDN w:val="0"/>
      <w:adjustRightInd w:val="0"/>
      <w:snapToGrid w:val="0"/>
      <w:spacing w:before="240" w:beforeLines="0" w:beforeAutospacing="0" w:after="60" w:afterLines="0" w:afterAutospacing="0" w:line="560" w:lineRule="exact"/>
      <w:ind w:firstLine="420" w:firstLineChars="200"/>
      <w:jc w:val="center"/>
      <w:textAlignment w:val="baseline"/>
      <w:outlineLvl w:val="0"/>
    </w:pPr>
    <w:rPr>
      <w:rFonts w:ascii="Arial" w:hAnsi="Arial" w:eastAsia="仿宋_GB2312" w:cs="Arial"/>
      <w:b/>
      <w:snapToGrid w:val="0"/>
      <w:color w:val="000000"/>
      <w:kern w:val="0"/>
      <w:sz w:val="32"/>
      <w:szCs w:val="21"/>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922a77b9-3178-49f7-a9cb-50af313986e0</errorID>
      <errorWord>制订</errorWord>
      <group>L1_Word</group>
      <groupName>字词问题</groupName>
      <ability>L2_Typo</ability>
      <abilityName>字词错误</abilityName>
      <candidateList>
        <item>制定</item>
      </candidateList>
      <explain>存在发音相同字词的误用。</explain>
      <paraID> F55A8F0</paraID>
      <start>163</start>
      <end>165</end>
      <status>unmodified</status>
      <modifiedWord/>
      <trackRevisions>false</trackRevisions>
    </reviewItem>
    <reviewItem>
      <errorID>66f8f48c-97c8-4c7b-9c7b-a5e123da9822</errorID>
      <errorWord>甘肃省环境保护条例</errorWord>
      <group>L1_Knowledge</group>
      <groupName>知识性问题</groupName>
      <ability>L2_Knowledge</ability>
      <abilityName>其他知识</abilityName>
      <candidateList/>
      <explain>该法规已废止，请注意检查引用是否正确。</explain>
      <paraID>50A3A85B</paraID>
      <start>81</start>
      <end>90</end>
      <status>unmodified</status>
      <modifiedWord/>
      <trackRevisions>false</trackRevisions>
    </reviewItem>
    <reviewItem>
      <errorID>337268a0-6cfb-4dd9-a4da-d590c940accc</errorID>
      <errorWord>依法按照国家有关技术指南</errorWord>
      <group>L1_Word</group>
      <groupName>字词问题</groupName>
      <ability>L2_Typo</ability>
      <abilityName>字词错误</abilityName>
      <candidateList>
        <item>按照国家有关技术指南依法</item>
      </candidateList>
      <explain/>
      <paraID>257B39A8</paraID>
      <start>140</start>
      <end>152</end>
      <status>unmodified</status>
      <modifiedWord/>
      <trackRevisions>false</trackRevisions>
    </reviewItem>
    <reviewItem>
      <errorID>61606bdf-229d-408e-9d58-4de1d61af038</errorID>
      <errorWord>常态</errorWord>
      <group>L1_Word</group>
      <groupName>字词问题</groupName>
      <ability>L2_Typo</ability>
      <abilityName>字词错误</abilityName>
      <candidateList>
        <item>日常</item>
      </candidateList>
      <explain/>
      <paraID> 88D60EF</paraID>
      <start>91</start>
      <end>93</end>
      <status>unmodified</status>
      <modifiedWord/>
      <trackRevisions>false</trackRevisions>
    </reviewItem>
    <reviewItem>
      <errorID>34818330-468a-4775-b8a9-8a28258b314a</errorID>
      <errorWord>、</errorWord>
      <group>L1_Punc</group>
      <groupName>标点问题</groupName>
      <ability>L2_Punc_CN</ability>
      <abilityName>标点符号问题</abilityName>
      <candidateList>
        <item>，</item>
      </candidateList>
      <explain/>
      <paraID>60720138</paraID>
      <start>64</start>
      <end>65</end>
      <status>unmodified</status>
      <modifiedWord/>
      <trackRevisions>false</trackRevisions>
    </reviewItem>
    <reviewItem>
      <errorID>e41e3c38-97cf-4f04-84f0-d68c10f08c1d</errorID>
      <errorWord>、</errorWord>
      <group>L1_Punc</group>
      <groupName>标点问题</groupName>
      <ability>L2_Punc_CN</ability>
      <abilityName>标点符号问题</abilityName>
      <candidateList>
        <item>，</item>
      </candidateList>
      <explain/>
      <paraID>67D26EC4</paraID>
      <start>39</start>
      <end>40</end>
      <status>unmodified</status>
      <modifiedWord/>
      <trackRevisions>false</trackRevisions>
    </reviewItem>
    <reviewItem>
      <errorID>5b2390bf-4bae-479b-b1ac-5c3b111eb00d</errorID>
      <errorWord>、</errorWord>
      <group>L1_Punc</group>
      <groupName>标点问题</groupName>
      <ability>L2_Punc_CN</ability>
      <abilityName>标点符号问题</abilityName>
      <candidateList>
        <item>，</item>
      </candidateList>
      <explain/>
      <paraID>67D26EC4</paraID>
      <start>46</start>
      <end>47</end>
      <status>unmodified</status>
      <modifiedWord/>
      <trackRevisions>false</trackRevisions>
    </reviewItem>
    <reviewItem>
      <errorID>dc8070e5-f160-4375-8548-484e53a96e55</errorID>
      <errorWord>建议</errorWord>
      <group>L1_Punc</group>
      <groupName>标点问题</groupName>
      <ability>L2_Punc_CN</ability>
      <abilityName>标点符号问题</abilityName>
      <candidateList>
        <item>建议。</item>
      </candidateList>
      <explain/>
      <paraID>7B042EC4</paraID>
      <start>129</start>
      <end>131</end>
      <status>unmodified</status>
      <modifiedWord/>
      <trackRevisions>false</trackRevisions>
    </reviewItem>
    <reviewItem>
      <errorID>ac8f62c7-21c1-494a-a42c-70e877dac0a9</errorID>
      <errorWord>控制组</errorWord>
      <group>L1_Punc</group>
      <groupName>标点问题</groupName>
      <ability>L2_Punc_CN</ability>
      <abilityName>标点符号问题</abilityName>
      <candidateList>
        <item>控制组：</item>
      </candidateList>
      <explain/>
      <paraID>20547344</paraID>
      <start>8</start>
      <end>11</end>
      <status>unmodified</status>
      <modifiedWord/>
      <trackRevisions>false</trackRevisions>
    </reviewItem>
    <reviewItem>
      <errorID>72a96cff-542e-407c-9dc6-cba4a516eeae</errorID>
      <errorWord>。</errorWord>
      <group>L1_Punc</group>
      <groupName>标点问题</groupName>
      <ability>L2_Punc_CN</ability>
      <abilityName>标点符号问题</abilityName>
      <candidateList>
        <item>，</item>
      </candidateList>
      <explain/>
      <paraID> CBE6C9A</paraID>
      <start>255</start>
      <end>256</end>
      <status>unmodified</status>
      <modifiedWord/>
      <trackRevisions>false</trackRevisions>
    </reviewItem>
    <reviewItem>
      <errorID>52f3d2c6-81de-4118-9ce8-ee10cc8a53be</errorID>
      <errorWord>、通信</errorWord>
      <group>L1_Grammar</group>
      <groupName>语法问题</groupName>
      <ability>L2_Grammar</ability>
      <abilityName>语法错误</abilityName>
      <candidateList>
        <item>的</item>
      </candidateList>
      <explain/>
      <paraID>18C74B94</paraID>
      <start>72</start>
      <end>75</end>
      <status>unmodified</status>
      <modifiedWord/>
      <trackRevisions>false</trackRevisions>
    </reviewItem>
    <reviewItem>
      <errorID>493e9146-007b-45fb-8389-6f5acb3eb576</errorID>
      <errorWord>工作</errorWord>
      <group>L1_Word</group>
      <groupName>字词问题</groupName>
      <ability>L2_Typo</ability>
      <abilityName>字词错误</abilityName>
      <candidateList>
        <item>措施</item>
      </candidateList>
      <explain/>
      <paraID>61161518</paraID>
      <start>89</start>
      <end>91</end>
      <status>unmodified</status>
      <modifiedWord/>
      <trackRevisions>false</trackRevisions>
    </reviewItem>
    <reviewItem>
      <errorID>e512c1d1-af6b-4b67-a1a1-08f3c179d302</errorID>
      <errorWord>；</errorWord>
      <group>L1_Punc</group>
      <groupName>标点问题</groupName>
      <ability>L2_Punc_CN</ability>
      <abilityName>标点符号问题</abilityName>
      <candidateList>
        <item>，</item>
      </candidateList>
      <explain/>
      <paraID>1CA5D668</paraID>
      <start>62</start>
      <end>63</end>
      <status>unmodified</status>
      <modifiedWord/>
      <trackRevisions>false</trackRevisions>
    </reviewItem>
    <reviewItem>
      <errorID>dfb14331-303c-4aa3-8bcb-a07ac9a4df16</errorID>
      <errorWord>；</errorWord>
      <group>L1_Punc</group>
      <groupName>标点问题</groupName>
      <ability>L2_Punc_CN</ability>
      <abilityName>标点符号问题</abilityName>
      <candidateList>
        <item>，</item>
      </candidateList>
      <explain/>
      <paraID>1CA5D668</paraID>
      <start>85</start>
      <end>86</end>
      <status>unmodified</status>
      <modifiedWord/>
      <trackRevisions>false</trackRevisions>
    </reviewItem>
    <reviewItem>
      <errorID>21c7e6d0-5f2c-4ba1-ab74-b1387343d6aa</errorID>
      <errorWord>、</errorWord>
      <group>L1_Word</group>
      <groupName>字词问题</groupName>
      <ability>L2_Typo</ability>
      <abilityName>字词错误</abilityName>
      <candidateList>
        <item>且</item>
      </candidateList>
      <explain/>
      <paraID>112018E2</paraID>
      <start>48</start>
      <end>49</end>
      <status>unmodified</status>
      <modifiedWord/>
      <trackRevisions>false</trackRevisions>
    </reviewItem>
    <reviewItem>
      <errorID>94917bfc-4682-4632-adec-01a732cb731b</errorID>
      <errorWord>10%、15%和20%以上</errorWord>
      <group>L1_Other</group>
      <groupName>其他问题</groupName>
      <ability>L2_Consistency</ability>
      <abilityName>一致性检查</abilityName>
      <candidateList>
        <item>10%、20%和30%以上</item>
      </candidateList>
      <explain>数字一致性错误，前文明确二氧化硫、氮氧化物、颗粒物的减排比例在黄、橙、红预警期间分别为10%、20%和30%以上，挥发性有机物对应比例应为该数值，此处数字表述不一致</explain>
      <paraID> 1813C96</paraID>
      <start>82</start>
      <end>95</end>
      <status>unmodified</status>
      <modifiedWord/>
      <trackRevisions>false</trackRevisions>
    </reviewItem>
    <reviewItem>
      <errorID>9691e063-5b97-414c-8439-c0fa2cecd300</errorID>
      <errorWord>指挥部及时</errorWord>
      <group>L1_Grammar</group>
      <groupName>语法问题</groupName>
      <ability>L2_Grammar</ability>
      <abilityName>语法错误</abilityName>
      <candidateList>
        <item>指挥部</item>
      </candidateList>
      <explain/>
      <paraID>5961D334</paraID>
      <start>8</start>
      <end>13</end>
      <status>unmodified</status>
      <modifiedWord/>
      <trackRevisions>false</trackRevisions>
    </reviewItem>
    <reviewItem>
      <errorID>131beb47-a44d-4f52-849c-27877842f0b6</errorID>
      <errorWord>采取响应措施</errorWord>
      <group>L1_Word</group>
      <groupName>字词问题</groupName>
      <ability>L2_Typo</ability>
      <abilityName>字词错误</abilityName>
      <candidateList>
        <item>采取相应措施</item>
      </candidateList>
      <explain/>
      <paraID>6FE1D657</paraID>
      <start>50</start>
      <end>56</end>
      <status>unmodified</status>
      <modifiedWord/>
      <trackRevisions>false</trackRevisions>
    </reviewItem>
    <reviewItem>
      <errorID>3e54dee1-95f9-4af0-8f99-8d5999bf70d3</errorID>
      <errorWord>(</errorWord>
      <group>L1_Format</group>
      <groupName>格式问题</groupName>
      <ability>L2_HalfPunc_CN</ability>
      <abilityName>全半角问题</abilityName>
      <candidateList>
        <item>（</item>
      </candidateList>
      <explain>文本全半角错误。</explain>
      <paraID>75B5315C</paraID>
      <start>15</start>
      <end>16</end>
      <status>unmodified</status>
      <modifiedWord/>
      <trackRevisions>false</trackRevisions>
    </reviewItem>
    <reviewItem>
      <errorID>5ec69929-1dca-4e54-919d-dbd118462172</errorID>
      <errorWord>)</errorWord>
      <group>L1_Format</group>
      <groupName>格式问题</groupName>
      <ability>L2_HalfPunc_CN</ability>
      <abilityName>全半角问题</abilityName>
      <candidateList>
        <item>）</item>
      </candidateList>
      <explain>文本全半角错误。</explain>
      <paraID>75B5315C</paraID>
      <start>39</start>
      <end>40</end>
      <status>unmodified</status>
      <modifiedWord/>
      <trackRevisions>false</trackRevisions>
    </reviewItem>
    <reviewItem>
      <errorID>acf0c145-cdba-4404-b64c-7ebba5002dba</errorID>
      <errorWord>(</errorWord>
      <group>L1_Format</group>
      <groupName>格式问题</groupName>
      <ability>L2_HalfPunc_CN</ability>
      <abilityName>全半角问题</abilityName>
      <candidateList>
        <item>（</item>
      </candidateList>
      <explain>文本全半角错误。</explain>
      <paraID>66447725</paraID>
      <start>4</start>
      <end>5</end>
      <status>unmodified</status>
      <modifiedWord/>
      <trackRevisions>false</trackRevisions>
    </reviewItem>
    <reviewItem>
      <errorID>71f2ed82-2307-42e5-84d4-3503a96835ed</errorID>
      <errorWord>(</errorWord>
      <group>L1_Format</group>
      <groupName>格式问题</groupName>
      <ability>L2_HalfPunc_CN</ability>
      <abilityName>全半角问题</abilityName>
      <candidateList>
        <item>（</item>
      </candidateList>
      <explain>文本全半角错误。</explain>
      <paraID>2186ED84</paraID>
      <start>4</start>
      <end>5</end>
      <status>unmodified</status>
      <modifiedWord/>
      <trackRevisions>false</trackRevisions>
    </reviewItem>
    <reviewItem>
      <errorID>da41266f-5227-4aa7-a7de-bc84c762866e</errorID>
      <errorWord>(</errorWord>
      <group>L1_Format</group>
      <groupName>格式问题</groupName>
      <ability>L2_HalfPunc_CN</ability>
      <abilityName>全半角问题</abilityName>
      <candidateList>
        <item>（</item>
      </candidateList>
      <explain>文本全半角错误。</explain>
      <paraID>3762B187</paraID>
      <start>4</start>
      <end>5</end>
      <status>unmodified</status>
      <modifiedWord/>
      <trackRevisions>false</trackRevisions>
    </reviewItem>
    <reviewItem>
      <errorID>6e20770a-8b2a-4f9c-a46f-a179662a03c5</errorID>
      <errorWord>必须</errorWord>
      <group>L1_Word</group>
      <groupName>字词问题</groupName>
      <ability>L2_Typo</ability>
      <abilityName>字词错误</abilityName>
      <candidateList>
        <item>时必须</item>
      </candidateList>
      <explain/>
      <paraID>4E096657</paraID>
      <start>51</start>
      <end>53</end>
      <status>unmodified</status>
      <modifiedWord/>
      <trackRevisions>false</trackRevisions>
    </reviewItem>
    <reviewItem>
      <errorID>746487be-5427-4b8f-8b0c-16097a4bcbde</errorID>
      <errorWord>采取</errorWord>
      <group>L1_Word</group>
      <groupName>字词问题</groupName>
      <ability>L2_Typo</ability>
      <abilityName>字词错误</abilityName>
      <candidateList>
        <item>应采取</item>
      </candidateList>
      <explain/>
      <paraID>1152E1A6</paraID>
      <start>20</start>
      <end>22</end>
      <status>unmodified</status>
      <modifiedWord/>
      <trackRevisions>false</trackRevisions>
    </reviewItem>
    <reviewItem>
      <errorID>5db994eb-8bdf-45da-a3ee-a85867f34124</errorID>
      <errorWord>必须</errorWord>
      <group>L1_Word</group>
      <groupName>字词问题</groupName>
      <ability>L2_Typo</ability>
      <abilityName>字词错误</abilityName>
      <candidateList>
        <item>时必须</item>
      </candidateList>
      <explain/>
      <paraID>44F50E06</paraID>
      <start>51</start>
      <end>53</end>
      <status>unmodified</status>
      <modifiedWord/>
      <trackRevisions>false</trackRevisions>
    </reviewItem>
    <reviewItem>
      <errorID>e2ffd5b0-1923-4a71-9142-352a72ce7444</errorID>
      <errorWord>采取</errorWord>
      <group>L1_Word</group>
      <groupName>字词问题</groupName>
      <ability>L2_Typo</ability>
      <abilityName>字词错误</abilityName>
      <candidateList>
        <item>应采取</item>
      </candidateList>
      <explain/>
      <paraID>4CF72C21</paraID>
      <start>21</start>
      <end>23</end>
      <status>unmodified</status>
      <modifiedWord/>
      <trackRevisions>false</trackRevisions>
    </reviewItem>
    <reviewItem>
      <errorID>367c224d-de85-4d5c-ba22-c2063b288c19</errorID>
      <errorWord>，</errorWord>
      <group>L1_Word</group>
      <groupName>字词问题</groupName>
      <ability>L2_Typo</ability>
      <abilityName>字词错误</abilityName>
      <candidateList>
        <item>，在</item>
      </candidateList>
      <explain/>
      <paraID>4A956617</paraID>
      <start>21</start>
      <end>22</end>
      <status>unmodified</status>
      <modifiedWord/>
      <trackRevisions>false</trackRevisions>
    </reviewItem>
    <reviewItem>
      <errorID>689cbe7f-aeb4-4f56-ae44-a87bf5455d71</errorID>
      <errorWord>必须</errorWord>
      <group>L1_Word</group>
      <groupName>字词问题</groupName>
      <ability>L2_Typo</ability>
      <abilityName>字词错误</abilityName>
      <candidateList>
        <item>时必须</item>
      </candidateList>
      <explain/>
      <paraID>6E6B6B4C</paraID>
      <start>51</start>
      <end>53</end>
      <status>unmodified</status>
      <modifiedWord/>
      <trackRevisions>false</trackRevisions>
    </reviewItem>
    <reviewItem>
      <errorID>4113dea4-675a-4779-940e-6e5156f51924</errorID>
      <errorWord>采取</errorWord>
      <group>L1_Word</group>
      <groupName>字词问题</groupName>
      <ability>L2_Typo</ability>
      <abilityName>字词错误</abilityName>
      <candidateList>
        <item>应采取</item>
      </candidateList>
      <explain/>
      <paraID>7D657D58</paraID>
      <start>21</start>
      <end>23</end>
      <status>unmodified</status>
      <modifiedWord/>
      <trackRevisions>false</trackRevisions>
    </reviewItem>
    <reviewItem>
      <errorID>e64cea35-e865-4e7a-a7a7-38f85665f68a</errorID>
      <errorWord>工地</errorWord>
      <group>L1_Word</group>
      <groupName>字词问题</groupName>
      <ability>L2_Typo</ability>
      <abilityName>字词错误</abilityName>
      <candidateList>
        <item>场地</item>
      </candidateList>
      <explain/>
      <paraID> 422AAC6</paraID>
      <start>8</start>
      <end>10</end>
      <status>unmodified</status>
      <modifiedWord/>
      <trackRevisions>false</trackRevisions>
    </reviewItem>
    <reviewItem>
      <errorID>4046ab60-4ec8-4193-89dc-76a53aa72362</errorID>
      <errorWord>工地</errorWord>
      <group>L1_Word</group>
      <groupName>字词问题</groupName>
      <ability>L2_Typo</ability>
      <abilityName>字词错误</abilityName>
      <candidateList>
        <item>场地</item>
      </candidateList>
      <explain/>
      <paraID>43D99035</paraID>
      <start>8</start>
      <end>10</end>
      <status>unmodified</status>
      <modifiedWord/>
      <trackRevisions>false</trackRevisions>
    </reviewItem>
    <reviewItem>
      <errorID>3b14c7c0-f44a-41db-8fbb-4ffa1cb6d56b</errorID>
      <errorWord>力度</errorWord>
      <group>L1_Word</group>
      <groupName>字词问题</groupName>
      <ability>L2_Typo</ability>
      <abilityName>字词错误</abilityName>
      <candidateList>
        <item>的力度</item>
      </candidateList>
      <explain/>
      <paraID>43D99035</paraID>
      <start>31</start>
      <end>33</end>
      <status>unmodified</status>
      <modifiedWord/>
      <trackRevisions>false</trackRevisions>
    </reviewItem>
    <reviewItem>
      <errorID>6a3213c7-e75c-4640-a9ea-36968a79e2bf</errorID>
      <errorWord>力度</errorWord>
      <group>L1_Word</group>
      <groupName>字词问题</groupName>
      <ability>L2_Typo</ability>
      <abilityName>字词错误</abilityName>
      <candidateList>
        <item>的力度</item>
      </candidateList>
      <explain/>
      <paraID>3D529581</paraID>
      <start>34</start>
      <end>36</end>
      <status>unmodified</status>
      <modifiedWord/>
      <trackRevisions>false</trackRevisions>
    </reviewItem>
    <reviewItem>
      <errorID>d9ad1f24-3b11-4856-ae65-f286e39c5f7f</errorID>
      <errorWord>(</errorWord>
      <group>L1_Format</group>
      <groupName>格式问题</groupName>
      <ability>L2_HalfPunc_CN</ability>
      <abilityName>全半角问题</abilityName>
      <candidateList>
        <item>（</item>
      </candidateList>
      <explain>文本全半角错误。</explain>
      <paraID>483DFE24</paraID>
      <start>4</start>
      <end>5</end>
      <status>unmodified</status>
      <modifiedWord/>
      <trackRevisions>false</trackRevisions>
    </reviewItem>
    <reviewItem>
      <errorID>cb33ca71-f863-4ee3-bc94-42d2281a015e</errorID>
      <errorWord>(</errorWord>
      <group>L1_Format</group>
      <groupName>格式问题</groupName>
      <ability>L2_HalfPunc_CN</ability>
      <abilityName>全半角问题</abilityName>
      <candidateList>
        <item>（</item>
      </candidateList>
      <explain>文本全半角错误。</explain>
      <paraID>3A9F2165</paraID>
      <start>4</start>
      <end>5</end>
      <status>unmodified</status>
      <modifiedWord/>
      <trackRevisions>false</trackRevisions>
    </reviewItem>
    <reviewItem>
      <errorID>a0420d6b-cfc9-49ad-8017-d1fc2e72e842</errorID>
      <errorWord>(</errorWord>
      <group>L1_Format</group>
      <groupName>格式问题</groupName>
      <ability>L2_HalfPunc_CN</ability>
      <abilityName>全半角问题</abilityName>
      <candidateList>
        <item>（</item>
      </candidateList>
      <explain>文本全半角错误。</explain>
      <paraID>219ACCB5</paraID>
      <start>4</start>
      <end>5</end>
      <status>unmodified</status>
      <modifiedWord/>
      <trackRevisions>false</trackRevisions>
    </reviewItem>
    <reviewItem>
      <errorID>eb32205e-974b-4273-9457-9183122dd00c</errorID>
      <errorWord>）</errorWord>
      <group>L1_Punc</group>
      <groupName>标点问题</groupName>
      <ability>L2_Punc_CN</ability>
      <abilityName>标点符号问题</abilityName>
      <candidateList>
        <item>）。</item>
      </candidateList>
      <explain/>
      <paraID>6A9680C7</paraID>
      <start>26</start>
      <end>27</end>
      <status>unmodified</status>
      <modifiedWord/>
      <trackRevisions>false</trackRevisions>
    </reviewItem>
    <reviewItem>
      <errorID>fd70a3f6-4a7e-40dd-bce6-f11ed27a2f43</errorID>
      <errorWord>生物质和</errorWord>
      <group>L1_Word</group>
      <groupName>字词问题</groupName>
      <ability>L2_Typo</ability>
      <abilityName>字词错误</abilityName>
      <candidateList>
        <item>生物质</item>
      </candidateList>
      <explain/>
      <paraID>7072ADC0</paraID>
      <start>30</start>
      <end>34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07ec53-43ea-4eb4-8010-4b5e73c3c345}">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13213</Words>
  <Characters>13883</Characters>
  <Lines>0</Lines>
  <Paragraphs>0</Paragraphs>
  <TotalTime>22</TotalTime>
  <ScaleCrop>false</ScaleCrop>
  <LinksUpToDate>false</LinksUpToDate>
  <CharactersWithSpaces>13949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2026-05-28T07:09:00Z</dcterms:created>
  <dc:creator>夏琝</dc:creator>
  <cp:lastModifiedBy>夏琝</cp:lastModifiedBy>
  <cp:lastPrinted>2026-07-21T00:36:49Z</cp:lastPrinted>
  <dcterms:modified xsi:type="dcterms:W3CDTF">2026-07-21T00:39:17Z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727668B45BFA4B66B310077A0D982342_13</vt:lpwstr>
  </property>
  <property fmtid="{D5CDD505-2E9C-101B-9397-08002B2CF9AE}" pid="4" name="KSOTemplateDocerSaveRecord">
    <vt:lpwstr>eyJoZGlkIjoiMzVjN2UyMmEwNGRiOTEwMTcwZjMwMDExYzJlNjllMTciLCJ1c2VySWQiOiIzMTE3NzM2MzgifQ==</vt:lpwstr>
  </property>
</Properties>
</file>