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5" w:line="224" w:lineRule="auto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附</w:t>
      </w:r>
      <w:r>
        <w:rPr>
          <w:rFonts w:ascii="黑体" w:hAnsi="黑体" w:eastAsia="黑体" w:cs="黑体"/>
          <w:spacing w:val="-58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件</w:t>
      </w:r>
      <w:r>
        <w:rPr>
          <w:rFonts w:ascii="黑体" w:hAnsi="黑体" w:eastAsia="黑体" w:cs="黑体"/>
          <w:spacing w:val="-43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1</w:t>
      </w:r>
    </w:p>
    <w:p>
      <w:pPr>
        <w:tabs>
          <w:tab w:val="left" w:pos="1965"/>
        </w:tabs>
        <w:spacing w:before="152" w:line="222" w:lineRule="auto"/>
        <w:jc w:val="center"/>
        <w:rPr>
          <w:rFonts w:ascii="仿宋" w:hAnsi="仿宋" w:eastAsia="仿宋" w:cs="仿宋"/>
          <w:sz w:val="29"/>
          <w:szCs w:val="29"/>
        </w:rPr>
      </w:pPr>
      <w:r>
        <w:rPr>
          <w:rFonts w:hint="eastAsia" w:ascii="仿宋" w:hAnsi="仿宋" w:eastAsia="仿宋" w:cs="仿宋"/>
          <w:b/>
          <w:bCs/>
          <w:spacing w:val="37"/>
          <w:sz w:val="32"/>
          <w:szCs w:val="32"/>
          <w:lang w:val="en-US" w:eastAsia="zh-CN"/>
        </w:rPr>
        <w:t>甘州区</w:t>
      </w:r>
      <w:r>
        <w:rPr>
          <w:rFonts w:ascii="仿宋" w:hAnsi="仿宋" w:eastAsia="仿宋" w:cs="仿宋"/>
          <w:b/>
          <w:bCs/>
          <w:spacing w:val="37"/>
          <w:sz w:val="32"/>
          <w:szCs w:val="32"/>
        </w:rPr>
        <w:t>水龙头水质监测结果上报表</w:t>
      </w:r>
    </w:p>
    <w:p>
      <w:pPr>
        <w:spacing w:before="95" w:line="223" w:lineRule="auto"/>
        <w:ind w:left="10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8"/>
          <w:sz w:val="29"/>
          <w:szCs w:val="29"/>
        </w:rPr>
        <w:t>监测类型：</w:t>
      </w:r>
      <w:r>
        <w:rPr>
          <w:rFonts w:hint="eastAsia" w:ascii="仿宋" w:hAnsi="仿宋" w:eastAsia="仿宋" w:cs="仿宋"/>
          <w:spacing w:val="-18"/>
          <w:sz w:val="29"/>
          <w:szCs w:val="29"/>
          <w:lang w:eastAsia="zh-CN"/>
        </w:rPr>
        <w:t>☑</w:t>
      </w:r>
      <w:r>
        <w:rPr>
          <w:rFonts w:ascii="仿宋" w:hAnsi="仿宋" w:eastAsia="仿宋" w:cs="仿宋"/>
          <w:spacing w:val="-18"/>
          <w:sz w:val="29"/>
          <w:szCs w:val="29"/>
        </w:rPr>
        <w:t>常规监测</w:t>
      </w:r>
      <w:r>
        <w:rPr>
          <w:rFonts w:ascii="仿宋" w:hAnsi="仿宋" w:eastAsia="仿宋" w:cs="仿宋"/>
          <w:spacing w:val="14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8"/>
          <w:sz w:val="29"/>
          <w:szCs w:val="29"/>
        </w:rPr>
        <w:t>□全分析监测</w:t>
      </w:r>
      <w:r>
        <w:rPr>
          <w:rFonts w:ascii="仿宋" w:hAnsi="仿宋" w:eastAsia="仿宋" w:cs="仿宋"/>
          <w:spacing w:val="7"/>
          <w:sz w:val="29"/>
          <w:szCs w:val="29"/>
        </w:rPr>
        <w:t xml:space="preserve">                </w:t>
      </w:r>
      <w:r>
        <w:rPr>
          <w:rFonts w:ascii="仿宋" w:hAnsi="仿宋" w:eastAsia="仿宋" w:cs="仿宋"/>
          <w:spacing w:val="-18"/>
          <w:position w:val="-1"/>
          <w:sz w:val="29"/>
          <w:szCs w:val="29"/>
        </w:rPr>
        <w:t>第</w:t>
      </w:r>
      <w:r>
        <w:rPr>
          <w:rFonts w:ascii="仿宋" w:hAnsi="仿宋" w:eastAsia="仿宋" w:cs="仿宋"/>
          <w:spacing w:val="21"/>
          <w:position w:val="-1"/>
          <w:sz w:val="29"/>
          <w:szCs w:val="29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21"/>
          <w:position w:val="-1"/>
          <w:sz w:val="29"/>
          <w:szCs w:val="29"/>
          <w:u w:val="single" w:color="auto"/>
          <w:lang w:val="en-US" w:eastAsia="zh-CN"/>
        </w:rPr>
        <w:t>6</w:t>
      </w:r>
      <w:r>
        <w:rPr>
          <w:rFonts w:ascii="仿宋" w:hAnsi="仿宋" w:eastAsia="仿宋" w:cs="仿宋"/>
          <w:spacing w:val="-18"/>
          <w:position w:val="-1"/>
          <w:sz w:val="29"/>
          <w:szCs w:val="29"/>
        </w:rPr>
        <w:t>月</w:t>
      </w:r>
    </w:p>
    <w:p>
      <w:pPr>
        <w:spacing w:line="116" w:lineRule="exact"/>
      </w:pPr>
    </w:p>
    <w:tbl>
      <w:tblPr>
        <w:tblStyle w:val="4"/>
        <w:tblW w:w="89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5014"/>
        <w:gridCol w:w="1409"/>
        <w:gridCol w:w="15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954" w:type="dxa"/>
            <w:vAlign w:val="top"/>
          </w:tcPr>
          <w:p>
            <w:pPr>
              <w:spacing w:before="101" w:line="221" w:lineRule="auto"/>
              <w:ind w:left="25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5014" w:type="dxa"/>
            <w:vAlign w:val="top"/>
          </w:tcPr>
          <w:p>
            <w:pPr>
              <w:spacing w:before="100" w:line="219" w:lineRule="auto"/>
              <w:ind w:left="215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8"/>
                <w:sz w:val="21"/>
                <w:szCs w:val="21"/>
              </w:rPr>
              <w:t>检测指标</w:t>
            </w:r>
          </w:p>
        </w:tc>
        <w:tc>
          <w:tcPr>
            <w:tcW w:w="1409" w:type="dxa"/>
            <w:vAlign w:val="top"/>
          </w:tcPr>
          <w:p>
            <w:pPr>
              <w:spacing w:before="100" w:line="219" w:lineRule="auto"/>
              <w:ind w:left="28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4"/>
                <w:sz w:val="21"/>
                <w:szCs w:val="21"/>
              </w:rPr>
              <w:t>检测份数</w:t>
            </w:r>
          </w:p>
        </w:tc>
        <w:tc>
          <w:tcPr>
            <w:tcW w:w="1563" w:type="dxa"/>
            <w:vAlign w:val="top"/>
          </w:tcPr>
          <w:p>
            <w:pPr>
              <w:spacing w:before="100" w:line="219" w:lineRule="auto"/>
              <w:ind w:left="36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4"/>
                <w:sz w:val="21"/>
                <w:szCs w:val="21"/>
              </w:rPr>
              <w:t>达标份数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940" w:type="dxa"/>
            <w:gridSpan w:val="4"/>
            <w:vAlign w:val="top"/>
          </w:tcPr>
          <w:p>
            <w:pPr>
              <w:spacing w:before="86" w:line="219" w:lineRule="auto"/>
              <w:ind w:left="27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1"/>
                <w:szCs w:val="21"/>
              </w:rPr>
              <w:t>一、微生物指标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54" w:type="dxa"/>
            <w:vAlign w:val="top"/>
          </w:tcPr>
          <w:p>
            <w:pPr>
              <w:spacing w:before="152" w:line="184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5014" w:type="dxa"/>
            <w:vAlign w:val="top"/>
          </w:tcPr>
          <w:p>
            <w:pPr>
              <w:spacing w:before="99" w:line="219" w:lineRule="auto"/>
              <w:ind w:left="2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总大肠菌群/(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MPN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/100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或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CFU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/100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)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>
            <w:pPr>
              <w:spacing w:before="143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5014" w:type="dxa"/>
            <w:vAlign w:val="top"/>
          </w:tcPr>
          <w:p>
            <w:pPr>
              <w:spacing w:before="89" w:line="219" w:lineRule="auto"/>
              <w:ind w:left="2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大肠埃希氏菌</w:t>
            </w:r>
            <w:r>
              <w:rPr>
                <w:rFonts w:hint="eastAsia" w:ascii="Times New Roman" w:hAnsi="Times New Roman" w:eastAsia="宋体" w:cs="Times New Roman"/>
                <w:spacing w:val="2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MPN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/100m或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CFU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/100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)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54" w:type="dxa"/>
            <w:vAlign w:val="top"/>
          </w:tcPr>
          <w:p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5014" w:type="dxa"/>
            <w:vAlign w:val="top"/>
          </w:tcPr>
          <w:p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菌落总数/(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MPN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或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CFU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)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940" w:type="dxa"/>
            <w:gridSpan w:val="4"/>
            <w:vAlign w:val="top"/>
          </w:tcPr>
          <w:p>
            <w:pPr>
              <w:spacing w:before="98" w:line="219" w:lineRule="auto"/>
              <w:ind w:left="27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4"/>
                <w:sz w:val="21"/>
                <w:szCs w:val="21"/>
              </w:rPr>
              <w:t>二、毒理指标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54" w:type="dxa"/>
            <w:vAlign w:val="top"/>
          </w:tcPr>
          <w:p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</w:t>
            </w:r>
          </w:p>
        </w:tc>
        <w:tc>
          <w:tcPr>
            <w:tcW w:w="5014" w:type="dxa"/>
            <w:vAlign w:val="top"/>
          </w:tcPr>
          <w:p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砷</w:t>
            </w:r>
            <w:r>
              <w:rPr>
                <w:rFonts w:hint="eastAsia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mg/L)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</w:t>
            </w:r>
          </w:p>
        </w:tc>
        <w:tc>
          <w:tcPr>
            <w:tcW w:w="5014" w:type="dxa"/>
            <w:vAlign w:val="top"/>
          </w:tcPr>
          <w:p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镉</w:t>
            </w:r>
            <w:r>
              <w:rPr>
                <w:rFonts w:hint="eastAsia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mg/L)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014" w:type="dxa"/>
            <w:vAlign w:val="top"/>
          </w:tcPr>
          <w:p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铬</w:t>
            </w:r>
            <w:r>
              <w:rPr>
                <w:rFonts w:hint="eastAsia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六价</w:t>
            </w:r>
            <w:r>
              <w:rPr>
                <w:rFonts w:hint="eastAsia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014" w:type="dxa"/>
            <w:vAlign w:val="top"/>
          </w:tcPr>
          <w:p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铅</w:t>
            </w:r>
            <w:r>
              <w:rPr>
                <w:rFonts w:hint="eastAsia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mg/L)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014" w:type="dxa"/>
            <w:vAlign w:val="top"/>
          </w:tcPr>
          <w:p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汞</w:t>
            </w:r>
            <w:r>
              <w:rPr>
                <w:rFonts w:hint="eastAsia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mg/L)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014" w:type="dxa"/>
            <w:vAlign w:val="top"/>
          </w:tcPr>
          <w:p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氰化物</w:t>
            </w:r>
            <w:r>
              <w:rPr>
                <w:rFonts w:hint="eastAsia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mg/L)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014" w:type="dxa"/>
            <w:vAlign w:val="top"/>
          </w:tcPr>
          <w:p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氟化物</w:t>
            </w:r>
            <w:r>
              <w:rPr>
                <w:rFonts w:hint="eastAsia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mg/L)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5014" w:type="dxa"/>
            <w:vAlign w:val="top"/>
          </w:tcPr>
          <w:p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硝酸盐</w:t>
            </w:r>
            <w:r>
              <w:rPr>
                <w:rFonts w:hint="eastAsia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以N 计</w:t>
            </w:r>
            <w:r>
              <w:rPr>
                <w:rFonts w:hint="eastAsia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5014" w:type="dxa"/>
            <w:vAlign w:val="top"/>
          </w:tcPr>
          <w:p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三氯甲烷</w:t>
            </w:r>
            <w:r>
              <w:rPr>
                <w:rFonts w:hint="eastAsia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mg/L)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5014" w:type="dxa"/>
            <w:vAlign w:val="top"/>
          </w:tcPr>
          <w:p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一氯二溴甲烷</w:t>
            </w:r>
            <w:r>
              <w:rPr>
                <w:rFonts w:hint="eastAsia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mg/L)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5014" w:type="dxa"/>
            <w:vAlign w:val="top"/>
          </w:tcPr>
          <w:p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二氯一溴甲烷</w:t>
            </w:r>
            <w:r>
              <w:rPr>
                <w:rFonts w:hint="eastAsia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mg/L)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014" w:type="dxa"/>
            <w:vAlign w:val="top"/>
          </w:tcPr>
          <w:p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三溴甲烷</w:t>
            </w:r>
            <w:r>
              <w:rPr>
                <w:rFonts w:hint="eastAsia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mg/L)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014" w:type="dxa"/>
            <w:vAlign w:val="top"/>
          </w:tcPr>
          <w:p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三卤甲烷</w:t>
            </w:r>
            <w:r>
              <w:rPr>
                <w:rFonts w:hint="eastAsia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三氯甲烷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一氯二溴甲烷、二氯一溴甲烷、三溴甲烷的总和</w:t>
            </w:r>
            <w:r>
              <w:rPr>
                <w:rFonts w:hint="eastAsia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5014" w:type="dxa"/>
            <w:vAlign w:val="top"/>
          </w:tcPr>
          <w:p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二氯乙酸</w:t>
            </w:r>
            <w:r>
              <w:rPr>
                <w:rFonts w:hint="eastAsia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mg/L)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5014" w:type="dxa"/>
            <w:vAlign w:val="top"/>
          </w:tcPr>
          <w:p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三氯乙酸</w:t>
            </w:r>
            <w:r>
              <w:rPr>
                <w:rFonts w:hint="eastAsia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mg/L)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5014" w:type="dxa"/>
            <w:vAlign w:val="top"/>
          </w:tcPr>
          <w:p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溴酸盐</w:t>
            </w:r>
            <w:r>
              <w:rPr>
                <w:rFonts w:hint="eastAsia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mg/L)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5014" w:type="dxa"/>
            <w:vAlign w:val="top"/>
          </w:tcPr>
          <w:p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亚氯酸盐</w:t>
            </w:r>
            <w:r>
              <w:rPr>
                <w:rFonts w:hint="eastAsia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mg/L)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54" w:type="dxa"/>
            <w:vAlign w:val="top"/>
          </w:tcPr>
          <w:p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21</w:t>
            </w:r>
          </w:p>
        </w:tc>
        <w:tc>
          <w:tcPr>
            <w:tcW w:w="5014" w:type="dxa"/>
            <w:vAlign w:val="top"/>
          </w:tcPr>
          <w:p>
            <w:pPr>
              <w:spacing w:before="96" w:line="214" w:lineRule="auto"/>
              <w:ind w:left="2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氯酸盐</w:t>
            </w:r>
            <w:r>
              <w:rPr>
                <w:rFonts w:hint="eastAsia" w:ascii="Times New Roman" w:hAnsi="Times New Roman" w:eastAsia="宋体" w:cs="Times New Roman"/>
                <w:spacing w:val="2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mg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/L)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40" w:type="dxa"/>
            <w:gridSpan w:val="4"/>
            <w:vAlign w:val="top"/>
          </w:tcPr>
          <w:p>
            <w:pPr>
              <w:spacing w:before="90" w:line="219" w:lineRule="auto"/>
              <w:ind w:left="27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1"/>
                <w:szCs w:val="21"/>
              </w:rPr>
              <w:t>三、感官性状和一般化学指标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5014" w:type="dxa"/>
            <w:vAlign w:val="top"/>
          </w:tcPr>
          <w:p>
            <w:pPr>
              <w:spacing w:before="94" w:line="220" w:lineRule="auto"/>
              <w:ind w:left="2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3"/>
                <w:sz w:val="21"/>
                <w:szCs w:val="21"/>
              </w:rPr>
              <w:t>色度</w:t>
            </w:r>
            <w:r>
              <w:rPr>
                <w:rFonts w:hint="eastAsia" w:ascii="Times New Roman" w:hAnsi="Times New Roman" w:eastAsia="宋体" w:cs="Times New Roman"/>
                <w:spacing w:val="13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13"/>
                <w:sz w:val="21"/>
                <w:szCs w:val="21"/>
              </w:rPr>
              <w:t>铂钴色度单位</w:t>
            </w:r>
            <w:r>
              <w:rPr>
                <w:rFonts w:hint="eastAsia" w:ascii="Times New Roman" w:hAnsi="Times New Roman" w:eastAsia="宋体" w:cs="Times New Roman"/>
                <w:spacing w:val="13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13"/>
                <w:sz w:val="21"/>
                <w:szCs w:val="21"/>
              </w:rPr>
              <w:t>/度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Align w:val="top"/>
          </w:tcPr>
          <w:p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5014" w:type="dxa"/>
            <w:vAlign w:val="top"/>
          </w:tcPr>
          <w:p>
            <w:pPr>
              <w:spacing w:before="104" w:line="219" w:lineRule="auto"/>
              <w:ind w:left="2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  <w:sz w:val="21"/>
                <w:szCs w:val="21"/>
              </w:rPr>
              <w:t>浑浊度</w:t>
            </w:r>
            <w:r>
              <w:rPr>
                <w:rFonts w:hint="eastAsia" w:ascii="Times New Roman" w:hAnsi="Times New Roman" w:eastAsia="宋体" w:cs="Times New Roman"/>
                <w:spacing w:val="11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11"/>
                <w:sz w:val="21"/>
                <w:szCs w:val="21"/>
              </w:rPr>
              <w:t>散射浑浊度单位</w:t>
            </w:r>
            <w:r>
              <w:rPr>
                <w:rFonts w:hint="eastAsia" w:ascii="Times New Roman" w:hAnsi="Times New Roman" w:eastAsia="宋体" w:cs="Times New Roman"/>
                <w:spacing w:val="11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11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NTU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5014" w:type="dxa"/>
            <w:vAlign w:val="top"/>
          </w:tcPr>
          <w:p>
            <w:pPr>
              <w:spacing w:before="96" w:line="214" w:lineRule="auto"/>
              <w:ind w:left="271"/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臭和味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5014" w:type="dxa"/>
            <w:vAlign w:val="top"/>
          </w:tcPr>
          <w:p>
            <w:pPr>
              <w:spacing w:before="96" w:line="214" w:lineRule="auto"/>
              <w:ind w:left="271"/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肉眼可见物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5014" w:type="dxa"/>
            <w:vAlign w:val="top"/>
          </w:tcPr>
          <w:p>
            <w:pPr>
              <w:spacing w:before="96" w:line="214" w:lineRule="auto"/>
              <w:ind w:left="271"/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pH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5014" w:type="dxa"/>
            <w:vAlign w:val="top"/>
          </w:tcPr>
          <w:p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铝</w:t>
            </w:r>
            <w:r>
              <w:rPr>
                <w:rFonts w:hint="eastAsia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mg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/L)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5014" w:type="dxa"/>
            <w:vAlign w:val="top"/>
          </w:tcPr>
          <w:p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铁</w:t>
            </w:r>
            <w:r>
              <w:rPr>
                <w:rFonts w:hint="eastAsia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mg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/L)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5014" w:type="dxa"/>
            <w:vAlign w:val="top"/>
          </w:tcPr>
          <w:p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锰</w:t>
            </w:r>
            <w:r>
              <w:rPr>
                <w:rFonts w:hint="eastAsia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mg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/L)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014" w:type="dxa"/>
            <w:vAlign w:val="top"/>
          </w:tcPr>
          <w:p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铜</w:t>
            </w:r>
            <w:r>
              <w:rPr>
                <w:rFonts w:hint="eastAsia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mg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/L)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5014" w:type="dxa"/>
            <w:vAlign w:val="top"/>
          </w:tcPr>
          <w:p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锌</w:t>
            </w:r>
            <w:r>
              <w:rPr>
                <w:rFonts w:hint="eastAsia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mg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/L)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014" w:type="dxa"/>
            <w:vAlign w:val="top"/>
          </w:tcPr>
          <w:p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氯化物</w:t>
            </w:r>
            <w:r>
              <w:rPr>
                <w:rFonts w:hint="eastAsia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mg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/L)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5014" w:type="dxa"/>
            <w:vAlign w:val="top"/>
          </w:tcPr>
          <w:p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硫酸盐</w:t>
            </w:r>
            <w:r>
              <w:rPr>
                <w:rFonts w:hint="eastAsia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mg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/L)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5014" w:type="dxa"/>
            <w:vAlign w:val="top"/>
          </w:tcPr>
          <w:p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溶解性总固体</w:t>
            </w:r>
            <w:r>
              <w:rPr>
                <w:rFonts w:hint="eastAsia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mg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/L)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5014" w:type="dxa"/>
            <w:vAlign w:val="top"/>
          </w:tcPr>
          <w:p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总硬度</w:t>
            </w:r>
            <w:r>
              <w:rPr>
                <w:rFonts w:hint="eastAsia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以CaCO₃计</w:t>
            </w:r>
            <w:r>
              <w:rPr>
                <w:rFonts w:hint="eastAsia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mg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/L)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5014" w:type="dxa"/>
            <w:vAlign w:val="top"/>
          </w:tcPr>
          <w:p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高锰酸盐指数</w:t>
            </w:r>
            <w:r>
              <w:rPr>
                <w:rFonts w:hint="eastAsia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以0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计</w:t>
            </w:r>
            <w:r>
              <w:rPr>
                <w:rFonts w:hint="eastAsia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mg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/L)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54" w:type="dxa"/>
            <w:vAlign w:val="top"/>
          </w:tcPr>
          <w:p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5014" w:type="dxa"/>
            <w:vAlign w:val="top"/>
          </w:tcPr>
          <w:p>
            <w:pPr>
              <w:spacing w:before="90" w:line="219" w:lineRule="auto"/>
              <w:ind w:left="271"/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氨</w:t>
            </w:r>
            <w:r>
              <w:rPr>
                <w:rFonts w:hint="eastAsia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以N计</w:t>
            </w:r>
            <w:r>
              <w:rPr>
                <w:rFonts w:hint="eastAsia" w:ascii="Times New Roman" w:hAnsi="Times New Roman" w:eastAsia="宋体" w:cs="Times New Roman"/>
                <w:spacing w:val="6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mg</w:t>
            </w: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/L)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40" w:type="dxa"/>
            <w:gridSpan w:val="4"/>
            <w:vAlign w:val="top"/>
          </w:tcPr>
          <w:p>
            <w:pPr>
              <w:spacing w:before="94" w:line="220" w:lineRule="auto"/>
              <w:ind w:left="27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1"/>
                <w:szCs w:val="21"/>
              </w:rPr>
              <w:t>四、放射性指标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54" w:type="dxa"/>
            <w:vAlign w:val="top"/>
          </w:tcPr>
          <w:p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5014" w:type="dxa"/>
            <w:vAlign w:val="top"/>
          </w:tcPr>
          <w:p>
            <w:pPr>
              <w:spacing w:before="91" w:line="214" w:lineRule="auto"/>
              <w:ind w:left="2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4"/>
                <w:sz w:val="21"/>
                <w:szCs w:val="21"/>
              </w:rPr>
              <w:t>总α放射性/(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Bq</w:t>
            </w:r>
            <w:r>
              <w:rPr>
                <w:rFonts w:hint="default" w:ascii="Times New Roman" w:hAnsi="Times New Roman" w:eastAsia="宋体" w:cs="Times New Roman"/>
                <w:spacing w:val="14"/>
                <w:sz w:val="21"/>
                <w:szCs w:val="21"/>
              </w:rPr>
              <w:t>/L)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Align w:val="top"/>
          </w:tcPr>
          <w:p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5014" w:type="dxa"/>
            <w:vAlign w:val="top"/>
          </w:tcPr>
          <w:p>
            <w:pPr>
              <w:spacing w:before="91" w:line="214" w:lineRule="auto"/>
              <w:ind w:left="2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4"/>
                <w:sz w:val="21"/>
                <w:szCs w:val="21"/>
              </w:rPr>
              <w:t>总β放射性/(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Bq</w:t>
            </w:r>
            <w:r>
              <w:rPr>
                <w:rFonts w:hint="default" w:ascii="Times New Roman" w:hAnsi="Times New Roman" w:eastAsia="宋体" w:cs="Times New Roman"/>
                <w:spacing w:val="14"/>
                <w:sz w:val="21"/>
                <w:szCs w:val="21"/>
              </w:rPr>
              <w:t>/L)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940" w:type="dxa"/>
            <w:gridSpan w:val="4"/>
            <w:vAlign w:val="top"/>
          </w:tcPr>
          <w:p>
            <w:pPr>
              <w:spacing w:before="103" w:line="219" w:lineRule="auto"/>
              <w:ind w:left="27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4"/>
                <w:sz w:val="21"/>
                <w:szCs w:val="21"/>
              </w:rPr>
              <w:t>五、消毒剂指标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54" w:type="dxa"/>
            <w:vAlign w:val="top"/>
          </w:tcPr>
          <w:p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5014" w:type="dxa"/>
            <w:vAlign w:val="top"/>
          </w:tcPr>
          <w:p>
            <w:pPr>
              <w:spacing w:before="99" w:line="220" w:lineRule="auto"/>
              <w:ind w:left="2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游离氯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54" w:type="dxa"/>
            <w:vAlign w:val="top"/>
          </w:tcPr>
          <w:p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5014" w:type="dxa"/>
            <w:vAlign w:val="top"/>
          </w:tcPr>
          <w:p>
            <w:pPr>
              <w:spacing w:before="99" w:line="221" w:lineRule="auto"/>
              <w:ind w:left="2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4"/>
                <w:sz w:val="21"/>
                <w:szCs w:val="21"/>
              </w:rPr>
              <w:t>总氯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1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54" w:type="dxa"/>
            <w:vAlign w:val="top"/>
          </w:tcPr>
          <w:p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5014" w:type="dxa"/>
            <w:vAlign w:val="top"/>
          </w:tcPr>
          <w:p>
            <w:pPr>
              <w:spacing w:before="97" w:line="219" w:lineRule="auto"/>
              <w:ind w:left="2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4"/>
                <w:sz w:val="21"/>
                <w:szCs w:val="21"/>
              </w:rPr>
              <w:t>臭氧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54" w:type="dxa"/>
            <w:vAlign w:val="top"/>
          </w:tcPr>
          <w:p>
            <w:pPr>
              <w:spacing w:before="144" w:line="183" w:lineRule="auto"/>
              <w:ind w:left="41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5014" w:type="dxa"/>
            <w:vAlign w:val="top"/>
          </w:tcPr>
          <w:p>
            <w:pPr>
              <w:spacing w:before="107" w:line="219" w:lineRule="auto"/>
              <w:ind w:left="27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二氧化氯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lang w:val="en-US" w:eastAsia="zh-CN"/>
              </w:rPr>
              <w:t>20</w:t>
            </w:r>
          </w:p>
        </w:tc>
      </w:tr>
    </w:tbl>
    <w:p>
      <w:pPr>
        <w:spacing w:before="166" w:line="220" w:lineRule="auto"/>
        <w:ind w:left="108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b/>
          <w:bCs/>
          <w:spacing w:val="-15"/>
          <w:sz w:val="22"/>
          <w:szCs w:val="22"/>
        </w:rPr>
        <w:t>注：指标未检测，请填“/”</w:t>
      </w:r>
      <w:r>
        <w:rPr>
          <w:rFonts w:hint="eastAsia" w:ascii="仿宋" w:hAnsi="仿宋" w:eastAsia="仿宋" w:cs="仿宋"/>
          <w:b/>
          <w:bCs/>
          <w:spacing w:val="-15"/>
          <w:sz w:val="22"/>
          <w:szCs w:val="22"/>
          <w:lang w:eastAsia="zh-CN"/>
        </w:rPr>
        <w:t>；</w:t>
      </w:r>
      <w:r>
        <w:rPr>
          <w:rFonts w:ascii="仿宋" w:hAnsi="仿宋" w:eastAsia="仿宋" w:cs="仿宋"/>
          <w:b/>
          <w:bCs/>
          <w:spacing w:val="-15"/>
          <w:sz w:val="22"/>
          <w:szCs w:val="22"/>
        </w:rPr>
        <w:t>无检测能力，请填“无”。</w:t>
      </w:r>
    </w:p>
    <w:p>
      <w:pPr>
        <w:spacing w:before="146" w:line="222" w:lineRule="auto"/>
        <w:rPr>
          <w:rFonts w:hint="default" w:ascii="仿宋" w:hAnsi="仿宋" w:eastAsia="仿宋" w:cs="仿宋"/>
          <w:sz w:val="29"/>
          <w:szCs w:val="29"/>
          <w:lang w:val="en-US" w:eastAsia="zh-CN"/>
        </w:rPr>
      </w:pPr>
      <w:r>
        <w:rPr>
          <w:rFonts w:ascii="仿宋" w:hAnsi="仿宋" w:eastAsia="仿宋" w:cs="仿宋"/>
          <w:spacing w:val="-32"/>
          <w:sz w:val="29"/>
          <w:szCs w:val="29"/>
        </w:rPr>
        <w:t>责任报告人：</w:t>
      </w:r>
      <w:r>
        <w:rPr>
          <w:rFonts w:hint="eastAsia" w:ascii="仿宋" w:hAnsi="仿宋" w:eastAsia="仿宋" w:cs="仿宋"/>
          <w:spacing w:val="2"/>
          <w:sz w:val="29"/>
          <w:szCs w:val="29"/>
          <w:u w:val="single"/>
          <w:lang w:val="en-US" w:eastAsia="zh-CN"/>
        </w:rPr>
        <w:t xml:space="preserve">南树强             </w:t>
      </w:r>
      <w:r>
        <w:rPr>
          <w:rFonts w:ascii="仿宋" w:hAnsi="仿宋" w:eastAsia="仿宋" w:cs="仿宋"/>
          <w:spacing w:val="2"/>
          <w:sz w:val="29"/>
          <w:szCs w:val="29"/>
        </w:rPr>
        <w:t xml:space="preserve">   </w:t>
      </w: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 xml:space="preserve"> </w:t>
      </w:r>
      <w:r>
        <w:rPr>
          <w:rFonts w:ascii="仿宋" w:hAnsi="仿宋" w:eastAsia="仿宋" w:cs="仿宋"/>
          <w:spacing w:val="-32"/>
          <w:sz w:val="29"/>
          <w:szCs w:val="29"/>
        </w:rPr>
        <w:t>联系电话</w:t>
      </w:r>
      <w:r>
        <w:rPr>
          <w:rFonts w:hint="eastAsia" w:ascii="仿宋" w:hAnsi="仿宋" w:eastAsia="仿宋" w:cs="仿宋"/>
          <w:spacing w:val="-32"/>
          <w:sz w:val="29"/>
          <w:szCs w:val="29"/>
          <w:lang w:val="en-US" w:eastAsia="zh-CN"/>
        </w:rPr>
        <w:t xml:space="preserve"> ：</w:t>
      </w:r>
      <w:r>
        <w:rPr>
          <w:rFonts w:hint="eastAsia" w:ascii="仿宋" w:hAnsi="仿宋" w:eastAsia="仿宋" w:cs="仿宋"/>
          <w:spacing w:val="-32"/>
          <w:sz w:val="29"/>
          <w:szCs w:val="29"/>
          <w:u w:val="single"/>
          <w:lang w:val="en-US" w:eastAsia="zh-CN"/>
        </w:rPr>
        <w:t xml:space="preserve">18893814582   </w:t>
      </w:r>
    </w:p>
    <w:p>
      <w:pPr>
        <w:spacing w:before="88" w:line="221" w:lineRule="auto"/>
        <w:rPr>
          <w:rFonts w:hint="default"/>
          <w:lang w:val="en-US"/>
        </w:rPr>
      </w:pPr>
      <w:r>
        <w:rPr>
          <w:rFonts w:ascii="仿宋" w:hAnsi="仿宋" w:eastAsia="仿宋" w:cs="仿宋"/>
          <w:spacing w:val="-17"/>
          <w:sz w:val="29"/>
          <w:szCs w:val="29"/>
        </w:rPr>
        <w:t>报告单位：</w:t>
      </w:r>
      <w:r>
        <w:rPr>
          <w:rFonts w:ascii="仿宋" w:hAnsi="仿宋" w:eastAsia="仿宋" w:cs="仿宋"/>
          <w:spacing w:val="-10"/>
          <w:sz w:val="29"/>
          <w:szCs w:val="29"/>
        </w:rPr>
        <w:t xml:space="preserve"> </w:t>
      </w:r>
      <w:r>
        <w:rPr>
          <w:rFonts w:hint="eastAsia" w:ascii="仿宋" w:hAnsi="仿宋" w:eastAsia="仿宋" w:cs="仿宋"/>
          <w:spacing w:val="-34"/>
          <w:sz w:val="29"/>
          <w:szCs w:val="29"/>
          <w:u w:val="single" w:color="auto"/>
          <w:lang w:val="en-US" w:eastAsia="zh-CN"/>
        </w:rPr>
        <w:t>甘州区疾病预防控制中心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9"/>
          <w:szCs w:val="29"/>
          <w:u w:val="single" w:color="auto"/>
          <w:lang w:eastAsia="zh-CN"/>
        </w:rPr>
        <w:t>（</w:t>
      </w:r>
      <w:r>
        <w:rPr>
          <w:rFonts w:ascii="仿宋" w:hAnsi="仿宋" w:eastAsia="仿宋" w:cs="仿宋"/>
          <w:spacing w:val="-17"/>
          <w:sz w:val="29"/>
          <w:szCs w:val="29"/>
        </w:rPr>
        <w:t>盖章</w:t>
      </w:r>
      <w:r>
        <w:rPr>
          <w:rFonts w:hint="eastAsia" w:ascii="仿宋" w:hAnsi="仿宋" w:eastAsia="仿宋" w:cs="仿宋"/>
          <w:spacing w:val="-17"/>
          <w:sz w:val="29"/>
          <w:szCs w:val="29"/>
          <w:lang w:eastAsia="zh-CN"/>
        </w:rPr>
        <w:t>）</w:t>
      </w:r>
      <w:r>
        <w:rPr>
          <w:rFonts w:hint="eastAsia" w:ascii="仿宋" w:hAnsi="仿宋" w:eastAsia="仿宋" w:cs="仿宋"/>
          <w:spacing w:val="-17"/>
          <w:sz w:val="29"/>
          <w:szCs w:val="29"/>
          <w:lang w:val="en-US" w:eastAsia="zh-CN"/>
        </w:rPr>
        <w:t xml:space="preserve"> </w:t>
      </w:r>
      <w:r>
        <w:rPr>
          <w:rFonts w:ascii="仿宋" w:hAnsi="仿宋" w:eastAsia="仿宋" w:cs="仿宋"/>
          <w:spacing w:val="-17"/>
          <w:sz w:val="29"/>
          <w:szCs w:val="29"/>
        </w:rPr>
        <w:t>报告时间</w:t>
      </w:r>
      <w:r>
        <w:rPr>
          <w:rFonts w:hint="eastAsia" w:ascii="仿宋" w:hAnsi="仿宋" w:eastAsia="仿宋" w:cs="仿宋"/>
          <w:spacing w:val="21"/>
          <w:sz w:val="29"/>
          <w:szCs w:val="29"/>
          <w:u w:val="single" w:color="auto"/>
          <w:lang w:val="en-US" w:eastAsia="zh-CN"/>
        </w:rPr>
        <w:t>2024</w:t>
      </w:r>
      <w:r>
        <w:rPr>
          <w:rFonts w:ascii="仿宋" w:hAnsi="仿宋" w:eastAsia="仿宋" w:cs="仿宋"/>
          <w:spacing w:val="-17"/>
          <w:sz w:val="29"/>
          <w:szCs w:val="29"/>
        </w:rPr>
        <w:t>年</w:t>
      </w:r>
      <w:r>
        <w:rPr>
          <w:rFonts w:hint="eastAsia" w:ascii="仿宋" w:hAnsi="仿宋" w:eastAsia="仿宋" w:cs="仿宋"/>
          <w:sz w:val="29"/>
          <w:szCs w:val="29"/>
          <w:u w:val="single" w:color="auto"/>
          <w:lang w:val="en-US" w:eastAsia="zh-CN"/>
        </w:rPr>
        <w:t xml:space="preserve"> 6</w:t>
      </w:r>
      <w:r>
        <w:rPr>
          <w:rFonts w:ascii="仿宋" w:hAnsi="仿宋" w:eastAsia="仿宋" w:cs="仿宋"/>
          <w:spacing w:val="-17"/>
          <w:sz w:val="29"/>
          <w:szCs w:val="29"/>
          <w:u w:val="none" w:color="auto"/>
        </w:rPr>
        <w:t>月</w:t>
      </w:r>
      <w:r>
        <w:rPr>
          <w:rFonts w:hint="eastAsia" w:ascii="仿宋" w:hAnsi="仿宋" w:eastAsia="仿宋" w:cs="仿宋"/>
          <w:sz w:val="29"/>
          <w:szCs w:val="29"/>
          <w:u w:val="single" w:color="auto"/>
          <w:lang w:val="en-US" w:eastAsia="zh-CN"/>
        </w:rPr>
        <w:t>21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NjA2NWU4ZWQzNTgzZTlmYzhkYjBkNGQ3ZDMyZjYifQ=="/>
  </w:docVars>
  <w:rsids>
    <w:rsidRoot w:val="0C511A04"/>
    <w:rsid w:val="0785278B"/>
    <w:rsid w:val="0C511A04"/>
    <w:rsid w:val="0EFB4CF5"/>
    <w:rsid w:val="100F531A"/>
    <w:rsid w:val="16FF00E6"/>
    <w:rsid w:val="280B6464"/>
    <w:rsid w:val="470627A3"/>
    <w:rsid w:val="4E2F784D"/>
    <w:rsid w:val="522561AB"/>
    <w:rsid w:val="5B3759E2"/>
    <w:rsid w:val="69F75AC8"/>
    <w:rsid w:val="7BC462D5"/>
    <w:rsid w:val="7F6C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858</Characters>
  <Lines>0</Lines>
  <Paragraphs>0</Paragraphs>
  <TotalTime>7</TotalTime>
  <ScaleCrop>false</ScaleCrop>
  <LinksUpToDate>false</LinksUpToDate>
  <CharactersWithSpaces>904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2023-07-31T03:36:00Z</dcterms:created>
  <dc:creator>Administrator</dc:creator>
  <cp:lastModifiedBy>石头</cp:lastModifiedBy>
  <dcterms:modified xsi:type="dcterms:W3CDTF">2024-06-21T00:57:24Z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E879402F462F4D34B1FF111D145C08FC_13</vt:lpwstr>
  </property>
</Properties>
</file>