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20BAB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52"/>
          <w:lang w:val="en-US" w:eastAsia="zh-CN"/>
        </w:rPr>
      </w:pPr>
    </w:p>
    <w:p w14:paraId="404BC6E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52"/>
          <w:lang w:val="en-US" w:eastAsia="zh-CN"/>
        </w:rPr>
      </w:pPr>
      <w:r>
        <w:rPr>
          <w:rFonts w:hint="eastAsia" w:ascii="方正小标宋简体" w:hAnsi="方正小标宋简体" w:eastAsia="方正小标宋简体" w:cs="方正小标宋简体"/>
          <w:sz w:val="44"/>
          <w:szCs w:val="52"/>
          <w:lang w:val="en-US" w:eastAsia="zh-CN"/>
        </w:rPr>
        <w:t>关于</w:t>
      </w:r>
      <w:r>
        <w:rPr>
          <w:rFonts w:hint="eastAsia" w:ascii="方正小标宋简体" w:hAnsi="方正小标宋简体" w:eastAsia="方正小标宋简体" w:cs="方正小标宋简体"/>
          <w:color w:val="000000"/>
          <w:sz w:val="44"/>
          <w:szCs w:val="44"/>
          <w:lang w:val="en-US" w:eastAsia="zh-CN"/>
        </w:rPr>
        <w:t>开展征收</w:t>
      </w:r>
      <w:r>
        <w:rPr>
          <w:rFonts w:hint="eastAsia" w:ascii="方正小标宋简体" w:hAnsi="方正小标宋简体" w:eastAsia="方正小标宋简体" w:cs="方正小标宋简体"/>
          <w:sz w:val="44"/>
          <w:szCs w:val="52"/>
          <w:lang w:val="en-US" w:eastAsia="zh-CN"/>
        </w:rPr>
        <w:t>2026年度甘州区城区生活垃圾处理费征收工作的通知</w:t>
      </w:r>
    </w:p>
    <w:p w14:paraId="3C485288">
      <w:pPr>
        <w:pStyle w:val="2"/>
        <w:rPr>
          <w:rFonts w:hint="default"/>
          <w:lang w:val="en-US" w:eastAsia="zh-CN"/>
        </w:rPr>
      </w:pPr>
    </w:p>
    <w:p w14:paraId="749874F2">
      <w:pPr>
        <w:keepNext w:val="0"/>
        <w:keepLines w:val="0"/>
        <w:pageBreakBefore w:val="0"/>
        <w:wordWrap/>
        <w:overflowPunct/>
        <w:topLinePunct w:val="0"/>
        <w:bidi w:val="0"/>
        <w:spacing w:line="560" w:lineRule="exact"/>
        <w:rPr>
          <w:rFonts w:hint="eastAsia" w:ascii="国标仿宋-GB/T 2312" w:hAnsi="国标仿宋-GB/T 2312" w:eastAsia="国标仿宋-GB/T 2312" w:cs="国标仿宋-GB/T 2312"/>
          <w:sz w:val="32"/>
          <w:szCs w:val="40"/>
          <w:lang w:val="en-US" w:eastAsia="zh-CN"/>
        </w:rPr>
      </w:pPr>
      <w:r>
        <w:rPr>
          <w:rFonts w:hint="eastAsia" w:ascii="仿宋_GB2312" w:hAnsi="仿宋_GB2312" w:eastAsia="仿宋_GB2312" w:cs="仿宋_GB2312"/>
          <w:sz w:val="32"/>
          <w:szCs w:val="40"/>
          <w:lang w:eastAsia="zh-CN"/>
        </w:rPr>
        <w:t>各</w:t>
      </w:r>
      <w:r>
        <w:rPr>
          <w:rFonts w:hint="eastAsia" w:ascii="仿宋_GB2312" w:hAnsi="仿宋_GB2312" w:eastAsia="仿宋_GB2312" w:cs="仿宋_GB2312"/>
          <w:sz w:val="32"/>
          <w:szCs w:val="40"/>
        </w:rPr>
        <w:t>有关乡镇人民政府，各街道办事处，区属各部门、单位：</w:t>
      </w:r>
    </w:p>
    <w:p w14:paraId="6D355F1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国标仿宋-GB/T 2312" w:hAnsi="国标仿宋-GB/T 2312" w:eastAsia="国标仿宋-GB/T 2312" w:cs="国标仿宋-GB/T 2312"/>
          <w:sz w:val="32"/>
          <w:szCs w:val="40"/>
          <w:lang w:val="en-US" w:eastAsia="zh-CN"/>
        </w:rPr>
      </w:pPr>
      <w:r>
        <w:rPr>
          <w:rFonts w:hint="default" w:ascii="国标仿宋-GB/T 2312" w:hAnsi="国标仿宋-GB/T 2312" w:eastAsia="国标仿宋-GB/T 2312" w:cs="国标仿宋-GB/T 2312"/>
          <w:sz w:val="32"/>
          <w:szCs w:val="40"/>
          <w:lang w:val="en-US" w:eastAsia="zh-CN"/>
        </w:rPr>
        <w:t>为做好2026年度城区生活垃圾处理费征收工作，根据《城市生活垃圾管理办法》、《财政部关于土地闲置费城镇垃圾处理费划转税务部门征收的通知》（财税〔2021〕8号）、《甘州区城区生活垃圾处理费委托代征工作实施方案》（甘区政办发〔2023〕147号）等政策文件要求，结合近两年来城区生活垃圾处理费征收工作实际，现就2026年度城区生活垃圾处理费征收工作</w:t>
      </w:r>
      <w:r>
        <w:rPr>
          <w:rFonts w:hint="eastAsia" w:ascii="国标仿宋-GB/T 2312" w:hAnsi="国标仿宋-GB/T 2312" w:eastAsia="国标仿宋-GB/T 2312" w:cs="国标仿宋-GB/T 2312"/>
          <w:sz w:val="32"/>
          <w:szCs w:val="40"/>
          <w:lang w:val="en-US" w:eastAsia="zh-CN"/>
        </w:rPr>
        <w:t>通知</w:t>
      </w:r>
      <w:r>
        <w:rPr>
          <w:rFonts w:hint="default" w:ascii="国标仿宋-GB/T 2312" w:hAnsi="国标仿宋-GB/T 2312" w:eastAsia="国标仿宋-GB/T 2312" w:cs="国标仿宋-GB/T 2312"/>
          <w:sz w:val="32"/>
          <w:szCs w:val="40"/>
          <w:lang w:val="en-US" w:eastAsia="zh-CN"/>
        </w:rPr>
        <w:t>如下</w:t>
      </w:r>
      <w:r>
        <w:rPr>
          <w:rFonts w:hint="eastAsia" w:ascii="国标仿宋-GB/T 2312" w:hAnsi="国标仿宋-GB/T 2312" w:eastAsia="国标仿宋-GB/T 2312" w:cs="国标仿宋-GB/T 2312"/>
          <w:sz w:val="32"/>
          <w:szCs w:val="40"/>
          <w:lang w:val="en-US" w:eastAsia="zh-CN"/>
        </w:rPr>
        <w:t>：</w:t>
      </w:r>
    </w:p>
    <w:p w14:paraId="274378B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国标黑体" w:hAnsi="国标黑体" w:eastAsia="国标黑体" w:cs="国标黑体"/>
          <w:sz w:val="32"/>
          <w:szCs w:val="40"/>
          <w:lang w:val="en-US" w:eastAsia="zh-CN"/>
        </w:rPr>
      </w:pPr>
      <w:r>
        <w:rPr>
          <w:rFonts w:hint="eastAsia" w:ascii="国标黑体" w:hAnsi="国标黑体" w:eastAsia="国标黑体" w:cs="国标黑体"/>
          <w:sz w:val="32"/>
          <w:szCs w:val="40"/>
          <w:lang w:val="en-US" w:eastAsia="zh-CN"/>
        </w:rPr>
        <w:t>一、总体工作要求</w:t>
      </w:r>
    </w:p>
    <w:p w14:paraId="4DC0582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国标仿宋-GB/T 2312" w:hAnsi="国标仿宋-GB/T 2312" w:eastAsia="国标仿宋-GB/T 2312" w:cs="国标仿宋-GB/T 2312"/>
          <w:sz w:val="32"/>
          <w:szCs w:val="40"/>
          <w:lang w:val="en-US" w:eastAsia="zh-CN"/>
        </w:rPr>
      </w:pPr>
      <w:r>
        <w:rPr>
          <w:rFonts w:hint="default" w:ascii="国标仿宋-GB/T 2312" w:hAnsi="国标仿宋-GB/T 2312" w:eastAsia="国标仿宋-GB/T 2312" w:cs="国标仿宋-GB/T 2312"/>
          <w:sz w:val="32"/>
          <w:szCs w:val="40"/>
          <w:lang w:val="en-US" w:eastAsia="zh-CN"/>
        </w:rPr>
        <w:t>坚持依法征收、属地负责、行业协同、应收尽收原则，统筹税务、城管、财政</w:t>
      </w:r>
      <w:r>
        <w:rPr>
          <w:rFonts w:hint="eastAsia" w:ascii="国标仿宋-GB/T 2312" w:hAnsi="国标仿宋-GB/T 2312" w:eastAsia="国标仿宋-GB/T 2312" w:cs="国标仿宋-GB/T 2312"/>
          <w:sz w:val="32"/>
          <w:szCs w:val="40"/>
          <w:lang w:val="en-US" w:eastAsia="zh-CN"/>
        </w:rPr>
        <w:t>和</w:t>
      </w:r>
      <w:r>
        <w:rPr>
          <w:rFonts w:hint="default" w:ascii="国标仿宋-GB/T 2312" w:hAnsi="国标仿宋-GB/T 2312" w:eastAsia="国标仿宋-GB/T 2312" w:cs="国标仿宋-GB/T 2312"/>
          <w:sz w:val="32"/>
          <w:szCs w:val="40"/>
          <w:lang w:val="en-US" w:eastAsia="zh-CN"/>
        </w:rPr>
        <w:t>行业主管</w:t>
      </w:r>
      <w:r>
        <w:rPr>
          <w:rFonts w:hint="eastAsia" w:ascii="国标仿宋-GB/T 2312" w:hAnsi="国标仿宋-GB/T 2312" w:eastAsia="国标仿宋-GB/T 2312" w:cs="国标仿宋-GB/T 2312"/>
          <w:sz w:val="32"/>
          <w:szCs w:val="40"/>
          <w:lang w:val="en-US" w:eastAsia="zh-CN"/>
        </w:rPr>
        <w:t>部门</w:t>
      </w:r>
      <w:r>
        <w:rPr>
          <w:rFonts w:hint="default" w:ascii="国标仿宋-GB/T 2312" w:hAnsi="国标仿宋-GB/T 2312" w:eastAsia="国标仿宋-GB/T 2312" w:cs="国标仿宋-GB/T 2312"/>
          <w:sz w:val="32"/>
          <w:szCs w:val="40"/>
          <w:lang w:val="en-US" w:eastAsia="zh-CN"/>
        </w:rPr>
        <w:t>、乡镇（街道）多方工作力量，精准核定缴费基数，持续拓宽便民缴费渠道，抓实政策宣传和欠费清缴工作，足额完成2026年度生活垃圾处理费征缴入库任务，为全区环卫设施运维、生活垃圾无害化处置提供稳定资金支撑。</w:t>
      </w:r>
    </w:p>
    <w:p w14:paraId="3856F6E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国标黑体" w:hAnsi="国标黑体" w:eastAsia="国标黑体" w:cs="国标黑体"/>
          <w:sz w:val="32"/>
          <w:szCs w:val="40"/>
          <w:lang w:val="en-US" w:eastAsia="zh-CN"/>
        </w:rPr>
      </w:pPr>
      <w:r>
        <w:rPr>
          <w:rFonts w:hint="eastAsia" w:ascii="国标黑体" w:hAnsi="国标黑体" w:eastAsia="国标黑体" w:cs="国标黑体"/>
          <w:sz w:val="32"/>
          <w:szCs w:val="40"/>
          <w:lang w:val="en-US" w:eastAsia="zh-CN"/>
        </w:rPr>
        <w:t>二、征收政策依据</w:t>
      </w:r>
    </w:p>
    <w:p w14:paraId="0FA9C793">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both"/>
        <w:textAlignment w:val="auto"/>
        <w:rPr>
          <w:rFonts w:hint="eastAsia" w:ascii="国标仿宋-GB/T 2312" w:hAnsi="国标仿宋-GB/T 2312" w:eastAsia="国标仿宋-GB/T 2312" w:cs="国标仿宋-GB/T 2312"/>
          <w:sz w:val="32"/>
          <w:szCs w:val="40"/>
          <w:lang w:val="en-US" w:eastAsia="zh-CN"/>
        </w:rPr>
      </w:pPr>
      <w:r>
        <w:rPr>
          <w:rFonts w:hint="eastAsia" w:ascii="国标仿宋-GB/T 2312" w:hAnsi="国标仿宋-GB/T 2312" w:eastAsia="国标仿宋-GB/T 2312" w:cs="国标仿宋-GB/T 2312"/>
          <w:sz w:val="32"/>
          <w:szCs w:val="40"/>
          <w:lang w:val="en-US" w:eastAsia="zh-CN"/>
        </w:rPr>
        <w:t>1.《城市生活垃圾管理办法》；</w:t>
      </w:r>
    </w:p>
    <w:p w14:paraId="2BA06F18">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both"/>
        <w:textAlignment w:val="auto"/>
        <w:rPr>
          <w:rFonts w:hint="eastAsia" w:ascii="国标仿宋-GB/T 2312" w:hAnsi="国标仿宋-GB/T 2312" w:eastAsia="国标仿宋-GB/T 2312" w:cs="国标仿宋-GB/T 2312"/>
          <w:sz w:val="32"/>
          <w:szCs w:val="40"/>
          <w:lang w:val="en-US" w:eastAsia="zh-CN"/>
        </w:rPr>
      </w:pPr>
      <w:r>
        <w:rPr>
          <w:rFonts w:hint="eastAsia" w:ascii="国标仿宋-GB/T 2312" w:hAnsi="国标仿宋-GB/T 2312" w:eastAsia="国标仿宋-GB/T 2312" w:cs="国标仿宋-GB/T 2312"/>
          <w:sz w:val="32"/>
          <w:szCs w:val="40"/>
          <w:lang w:val="en-US" w:eastAsia="zh-CN"/>
        </w:rPr>
        <w:t>2.《财政部关于土地闲置费城镇垃圾处理费划转税务部门征收的通知》（财税〔2021〕8号）；</w:t>
      </w:r>
    </w:p>
    <w:p w14:paraId="36F05061">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both"/>
        <w:textAlignment w:val="auto"/>
        <w:rPr>
          <w:rFonts w:hint="eastAsia" w:ascii="国标仿宋-GB/T 2312" w:hAnsi="国标仿宋-GB/T 2312" w:eastAsia="国标仿宋-GB/T 2312" w:cs="国标仿宋-GB/T 2312"/>
          <w:sz w:val="32"/>
          <w:szCs w:val="40"/>
          <w:lang w:val="en-US" w:eastAsia="zh-CN"/>
        </w:rPr>
      </w:pPr>
      <w:r>
        <w:rPr>
          <w:rFonts w:hint="eastAsia" w:ascii="国标仿宋-GB/T 2312" w:hAnsi="国标仿宋-GB/T 2312" w:eastAsia="国标仿宋-GB/T 2312" w:cs="国标仿宋-GB/T 2312"/>
          <w:sz w:val="32"/>
          <w:szCs w:val="40"/>
          <w:lang w:val="en-US" w:eastAsia="zh-CN"/>
        </w:rPr>
        <w:t>3.《关于土地闲置费城镇垃圾处理费划转有关征管事项的通知》（甘税函〔2021〕155号）。</w:t>
      </w:r>
    </w:p>
    <w:p w14:paraId="4B789DB9">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both"/>
        <w:textAlignment w:val="auto"/>
        <w:rPr>
          <w:rFonts w:hint="eastAsia" w:ascii="国标仿宋-GB/T 2312" w:hAnsi="国标仿宋-GB/T 2312" w:eastAsia="国标仿宋-GB/T 2312" w:cs="国标仿宋-GB/T 2312"/>
          <w:sz w:val="32"/>
          <w:szCs w:val="40"/>
          <w:lang w:val="en-US" w:eastAsia="zh-CN"/>
        </w:rPr>
      </w:pPr>
      <w:r>
        <w:rPr>
          <w:rFonts w:hint="eastAsia" w:ascii="国标仿宋-GB/T 2312" w:hAnsi="国标仿宋-GB/T 2312" w:eastAsia="国标仿宋-GB/T 2312" w:cs="国标仿宋-GB/T 2312"/>
          <w:sz w:val="32"/>
          <w:szCs w:val="40"/>
          <w:lang w:val="en-US" w:eastAsia="zh-CN"/>
        </w:rPr>
        <w:t>4.《张掖市甘州区人民政府转发张掖市人民政府关于调整甘州区垃圾处理费征收标准的批复的通知》（甘区政发〔2010〕72号）；</w:t>
      </w:r>
    </w:p>
    <w:p w14:paraId="2BD9E082">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both"/>
        <w:textAlignment w:val="auto"/>
        <w:rPr>
          <w:rFonts w:hint="eastAsia" w:ascii="国标仿宋-GB/T 2312" w:hAnsi="国标仿宋-GB/T 2312" w:eastAsia="国标仿宋-GB/T 2312" w:cs="国标仿宋-GB/T 2312"/>
          <w:sz w:val="32"/>
          <w:szCs w:val="40"/>
          <w:lang w:val="en-US" w:eastAsia="zh-CN"/>
        </w:rPr>
      </w:pPr>
      <w:r>
        <w:rPr>
          <w:rFonts w:hint="eastAsia" w:ascii="国标仿宋-GB/T 2312" w:hAnsi="国标仿宋-GB/T 2312" w:eastAsia="国标仿宋-GB/T 2312" w:cs="国标仿宋-GB/T 2312"/>
          <w:sz w:val="32"/>
          <w:szCs w:val="40"/>
          <w:lang w:val="en-US" w:eastAsia="zh-CN"/>
        </w:rPr>
        <w:t>5.《甘州区人民政府办公室关于印发甘州区城区生活垃圾处理费委托代征工作实施方案的通知》（甘区政办发〔2023〕147号）；</w:t>
      </w:r>
    </w:p>
    <w:p w14:paraId="4C7CC8C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国标黑体" w:hAnsi="国标黑体" w:eastAsia="国标黑体" w:cs="国标黑体"/>
          <w:sz w:val="32"/>
          <w:szCs w:val="40"/>
          <w:lang w:val="en-US" w:eastAsia="zh-CN"/>
        </w:rPr>
      </w:pPr>
      <w:r>
        <w:rPr>
          <w:rFonts w:hint="eastAsia" w:ascii="国标黑体" w:hAnsi="国标黑体" w:eastAsia="国标黑体" w:cs="国标黑体"/>
          <w:sz w:val="32"/>
          <w:szCs w:val="40"/>
          <w:lang w:val="en-US" w:eastAsia="zh-CN"/>
        </w:rPr>
        <w:t>三、全覆盖征收对象</w:t>
      </w:r>
    </w:p>
    <w:p w14:paraId="1B63A59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国标仿宋-GB/T 2312" w:hAnsi="国标仿宋-GB/T 2312" w:eastAsia="国标仿宋-GB/T 2312" w:cs="国标仿宋-GB/T 2312"/>
          <w:sz w:val="32"/>
          <w:szCs w:val="40"/>
          <w:lang w:val="en-US" w:eastAsia="zh-CN"/>
        </w:rPr>
      </w:pPr>
      <w:r>
        <w:rPr>
          <w:rFonts w:hint="eastAsia" w:ascii="国标仿宋-GB/T 2312" w:hAnsi="国标仿宋-GB/T 2312" w:eastAsia="国标仿宋-GB/T 2312" w:cs="国标仿宋-GB/T 2312"/>
          <w:sz w:val="32"/>
          <w:szCs w:val="40"/>
          <w:lang w:val="en-US" w:eastAsia="zh-CN"/>
        </w:rPr>
        <w:t>甘州区城市规划区内所有产生生活垃圾的单位及个人，具体包含：城市规划区内各级国家机关、企事业单位（中央、省驻张单位纳入管理）</w:t>
      </w:r>
      <w:r>
        <w:rPr>
          <w:rFonts w:hint="eastAsia" w:ascii="国标仿宋-GB/T 2312" w:hAnsi="国标仿宋-GB/T 2312" w:eastAsia="国标仿宋-GB/T 2312" w:cs="国标仿宋-GB/T 2312"/>
          <w:color w:val="auto"/>
          <w:sz w:val="32"/>
          <w:szCs w:val="40"/>
          <w:lang w:val="en-US" w:eastAsia="zh-CN"/>
        </w:rPr>
        <w:t>、社会团体；</w:t>
      </w:r>
      <w:r>
        <w:rPr>
          <w:rFonts w:hint="eastAsia" w:ascii="国标仿宋-GB/T 2312" w:hAnsi="国标仿宋-GB/T 2312" w:eastAsia="国标仿宋-GB/T 2312" w:cs="国标仿宋-GB/T 2312"/>
          <w:sz w:val="32"/>
          <w:szCs w:val="40"/>
          <w:lang w:val="en-US" w:eastAsia="zh-CN"/>
        </w:rPr>
        <w:t>小区、沿街各类商业门店；辖区常住居民、暂住人口；宾馆、餐饮、商超、文娱、医疗机构、农贸市场、生产经营企业、通信金融机构等全部经营主体。</w:t>
      </w:r>
    </w:p>
    <w:p w14:paraId="2919069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国标黑体" w:hAnsi="国标黑体" w:eastAsia="国标黑体" w:cs="国标黑体"/>
          <w:b w:val="0"/>
          <w:bCs w:val="0"/>
          <w:color w:val="auto"/>
          <w:sz w:val="32"/>
          <w:szCs w:val="40"/>
          <w:lang w:val="en-US" w:eastAsia="zh-CN"/>
        </w:rPr>
      </w:pPr>
      <w:r>
        <w:rPr>
          <w:rFonts w:hint="eastAsia" w:ascii="国标黑体" w:hAnsi="国标黑体" w:eastAsia="国标黑体" w:cs="国标黑体"/>
          <w:sz w:val="32"/>
          <w:szCs w:val="40"/>
          <w:lang w:val="en-US" w:eastAsia="zh-CN"/>
        </w:rPr>
        <w:t>四、</w:t>
      </w:r>
      <w:r>
        <w:rPr>
          <w:rFonts w:hint="eastAsia" w:ascii="国标黑体" w:hAnsi="国标黑体" w:eastAsia="国标黑体" w:cs="国标黑体"/>
          <w:b w:val="0"/>
          <w:bCs w:val="0"/>
          <w:color w:val="auto"/>
          <w:sz w:val="32"/>
          <w:szCs w:val="40"/>
          <w:lang w:val="en-US" w:eastAsia="zh-CN"/>
        </w:rPr>
        <w:t>城区垃圾处理费征收标准</w:t>
      </w:r>
    </w:p>
    <w:p w14:paraId="09CFCB7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国标仿宋-GB/T 2312" w:hAnsi="国标仿宋-GB/T 2312" w:eastAsia="国标仿宋-GB/T 2312" w:cs="国标仿宋-GB/T 2312"/>
          <w:sz w:val="32"/>
          <w:szCs w:val="40"/>
          <w:lang w:val="en-US" w:eastAsia="zh-CN"/>
        </w:rPr>
      </w:pPr>
      <w:r>
        <w:rPr>
          <w:rFonts w:hint="eastAsia" w:ascii="国标仿宋-GB/T 2312" w:hAnsi="国标仿宋-GB/T 2312" w:eastAsia="国标仿宋-GB/T 2312" w:cs="国标仿宋-GB/T 2312"/>
          <w:sz w:val="32"/>
          <w:szCs w:val="40"/>
          <w:lang w:val="en-US" w:eastAsia="zh-CN"/>
        </w:rPr>
        <w:t>城市居民（含城市暂住人口）每人每月为1.5元；单位、社会团体、企业（含工商、金融、邮电通讯、电力、交通运输业等）按在册实有职工人数每人每年为55元；宾馆、饭店、招待所按实有床位每床每月为4元；酒吧、咖啡屋、茶吧、餐馆及酒店、宾馆、饭店、招待所附设餐厅等按其经营场所使用面积每月每平方米为0.80元；商业门店、KTV等娱乐场所、美容美发、机械汽车维修、家用电器、缝纫等行业按其经营场所使用面积每月每平方米为0.60元；蔬菜、瓜果、饮食、肉禽、水产等摊点每点每月为20元；百货、服装、报刊等摊点每点每月为10元；建筑工地按单体设计建筑面积每平方米一次性收取1.60元。</w:t>
      </w:r>
    </w:p>
    <w:p w14:paraId="097C9FD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国标黑体" w:hAnsi="国标黑体" w:eastAsia="国标黑体" w:cs="国标黑体"/>
          <w:sz w:val="32"/>
          <w:szCs w:val="40"/>
          <w:lang w:val="en-US" w:eastAsia="zh-CN"/>
        </w:rPr>
      </w:pPr>
      <w:r>
        <w:rPr>
          <w:rFonts w:hint="eastAsia" w:ascii="国标黑体" w:hAnsi="国标黑体" w:eastAsia="国标黑体" w:cs="国标黑体"/>
          <w:sz w:val="32"/>
          <w:szCs w:val="40"/>
          <w:lang w:val="en-US" w:eastAsia="zh-CN"/>
        </w:rPr>
        <w:t>五、缴费基数分工核定机制</w:t>
      </w:r>
    </w:p>
    <w:p w14:paraId="78BD2C3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国标仿宋-GB/T 2312" w:hAnsi="国标仿宋-GB/T 2312" w:eastAsia="国标仿宋-GB/T 2312" w:cs="国标仿宋-GB/T 2312"/>
          <w:color w:val="FF0000"/>
          <w:sz w:val="32"/>
          <w:szCs w:val="40"/>
          <w:lang w:val="en-US" w:eastAsia="zh-CN"/>
        </w:rPr>
      </w:pPr>
      <w:r>
        <w:rPr>
          <w:rFonts w:hint="default" w:ascii="国标仿宋-GB/T 2312" w:hAnsi="国标仿宋-GB/T 2312" w:eastAsia="国标仿宋-GB/T 2312" w:cs="国标仿宋-GB/T 2312"/>
          <w:sz w:val="32"/>
          <w:szCs w:val="40"/>
          <w:lang w:val="en-US" w:eastAsia="zh-CN"/>
        </w:rPr>
        <w:t>各责任单位在历年摸排台账基础上，全面复核、动态更新基础信息，严格对照</w:t>
      </w:r>
      <w:r>
        <w:rPr>
          <w:rFonts w:hint="eastAsia" w:ascii="国标仿宋-GB/T 2312" w:hAnsi="国标仿宋-GB/T 2312" w:eastAsia="国标仿宋-GB/T 2312" w:cs="国标仿宋-GB/T 2312"/>
          <w:sz w:val="32"/>
          <w:szCs w:val="40"/>
          <w:lang w:val="en-US" w:eastAsia="zh-CN"/>
        </w:rPr>
        <w:t>《张掖市甘州区人民政府转发张掖市人民政府关于调整甘州区垃圾处理费征收标准的批复的通知》（甘区政发〔2010〕72号）</w:t>
      </w:r>
      <w:r>
        <w:rPr>
          <w:rFonts w:hint="default" w:ascii="国标仿宋-GB/T 2312" w:hAnsi="国标仿宋-GB/T 2312" w:eastAsia="国标仿宋-GB/T 2312" w:cs="国标仿宋-GB/T 2312"/>
          <w:sz w:val="32"/>
          <w:szCs w:val="40"/>
          <w:lang w:val="en-US" w:eastAsia="zh-CN"/>
        </w:rPr>
        <w:t>文件规定标准核算应征生活垃圾处理费。除床位型、摊位型经营主体执行专项计费标准外，其余经营主体统一按照</w:t>
      </w:r>
      <w:r>
        <w:rPr>
          <w:rFonts w:hint="eastAsia" w:ascii="国标仿宋-GB/T 2312" w:hAnsi="国标仿宋-GB/T 2312" w:eastAsia="国标仿宋-GB/T 2312" w:cs="国标仿宋-GB/T 2312"/>
          <w:sz w:val="32"/>
          <w:szCs w:val="40"/>
          <w:lang w:val="en-US" w:eastAsia="zh-CN"/>
        </w:rPr>
        <w:t>经营场所使用面积</w:t>
      </w:r>
      <w:r>
        <w:rPr>
          <w:rFonts w:hint="default" w:ascii="国标仿宋-GB/T 2312" w:hAnsi="国标仿宋-GB/T 2312" w:eastAsia="国标仿宋-GB/T 2312" w:cs="国标仿宋-GB/T 2312"/>
          <w:sz w:val="32"/>
          <w:szCs w:val="40"/>
          <w:lang w:val="en-US" w:eastAsia="zh-CN"/>
        </w:rPr>
        <w:t>核定计费基数。各领域核定职责划分如下：</w:t>
      </w:r>
    </w:p>
    <w:p w14:paraId="08DA615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国标仿宋-GB/T 2312" w:hAnsi="国标仿宋-GB/T 2312" w:eastAsia="国标仿宋-GB/T 2312" w:cs="国标仿宋-GB/T 2312"/>
          <w:sz w:val="32"/>
          <w:szCs w:val="40"/>
          <w:lang w:val="en-US" w:eastAsia="zh-CN"/>
        </w:rPr>
      </w:pPr>
      <w:r>
        <w:rPr>
          <w:rFonts w:hint="eastAsia" w:ascii="国标仿宋-GB/T 2312" w:hAnsi="国标仿宋-GB/T 2312" w:eastAsia="国标仿宋-GB/T 2312" w:cs="国标仿宋-GB/T 2312"/>
          <w:sz w:val="32"/>
          <w:szCs w:val="40"/>
          <w:lang w:val="en-US" w:eastAsia="zh-CN"/>
        </w:rPr>
        <w:t>1.</w:t>
      </w:r>
      <w:r>
        <w:rPr>
          <w:rFonts w:hint="default" w:ascii="国标仿宋-GB/T 2312" w:hAnsi="国标仿宋-GB/T 2312" w:eastAsia="国标仿宋-GB/T 2312" w:cs="国标仿宋-GB/T 2312"/>
          <w:sz w:val="32"/>
          <w:szCs w:val="40"/>
          <w:lang w:val="en-US" w:eastAsia="zh-CN"/>
        </w:rPr>
        <w:t>居民住户（常住、暂住人口）：以人口为核算单位，由市公安局甘州分局牵头，</w:t>
      </w:r>
      <w:r>
        <w:rPr>
          <w:rFonts w:hint="eastAsia" w:ascii="国标仿宋-GB/T 2312" w:hAnsi="国标仿宋-GB/T 2312" w:eastAsia="国标仿宋-GB/T 2312" w:cs="国标仿宋-GB/T 2312"/>
          <w:sz w:val="32"/>
          <w:szCs w:val="40"/>
          <w:lang w:val="en-US" w:eastAsia="zh-CN"/>
        </w:rPr>
        <w:t>新墩镇、长安镇、梁家墩镇、上秦镇</w:t>
      </w:r>
      <w:r>
        <w:rPr>
          <w:rFonts w:hint="default" w:ascii="国标仿宋-GB/T 2312" w:hAnsi="国标仿宋-GB/T 2312" w:eastAsia="国标仿宋-GB/T 2312" w:cs="国标仿宋-GB/T 2312"/>
          <w:sz w:val="32"/>
          <w:szCs w:val="40"/>
          <w:lang w:val="en-US" w:eastAsia="zh-CN"/>
        </w:rPr>
        <w:t>、各街道</w:t>
      </w:r>
      <w:r>
        <w:rPr>
          <w:rFonts w:hint="eastAsia" w:ascii="国标仿宋-GB/T 2312" w:hAnsi="国标仿宋-GB/T 2312" w:eastAsia="国标仿宋-GB/T 2312" w:cs="国标仿宋-GB/T 2312"/>
          <w:sz w:val="32"/>
          <w:szCs w:val="40"/>
          <w:lang w:val="en-US" w:eastAsia="zh-CN"/>
        </w:rPr>
        <w:t>办事处</w:t>
      </w:r>
      <w:r>
        <w:rPr>
          <w:rFonts w:hint="default" w:ascii="国标仿宋-GB/T 2312" w:hAnsi="国标仿宋-GB/T 2312" w:eastAsia="国标仿宋-GB/T 2312" w:cs="国标仿宋-GB/T 2312"/>
          <w:sz w:val="32"/>
          <w:szCs w:val="40"/>
          <w:lang w:val="en-US" w:eastAsia="zh-CN"/>
        </w:rPr>
        <w:t>、滨河新区社区服务中心协同开展摸排核实。</w:t>
      </w:r>
    </w:p>
    <w:p w14:paraId="33AA820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国标仿宋-GB/T 2312" w:hAnsi="国标仿宋-GB/T 2312" w:eastAsia="国标仿宋-GB/T 2312" w:cs="国标仿宋-GB/T 2312"/>
          <w:sz w:val="32"/>
          <w:szCs w:val="40"/>
          <w:lang w:val="en-US" w:eastAsia="zh-CN"/>
        </w:rPr>
      </w:pPr>
      <w:r>
        <w:rPr>
          <w:rFonts w:hint="eastAsia" w:ascii="国标仿宋-GB/T 2312" w:hAnsi="国标仿宋-GB/T 2312" w:eastAsia="国标仿宋-GB/T 2312" w:cs="国标仿宋-GB/T 2312"/>
          <w:sz w:val="32"/>
          <w:szCs w:val="40"/>
          <w:lang w:val="en-US" w:eastAsia="zh-CN"/>
        </w:rPr>
        <w:t>2.</w:t>
      </w:r>
      <w:r>
        <w:rPr>
          <w:rFonts w:hint="default" w:ascii="国标仿宋-GB/T 2312" w:hAnsi="国标仿宋-GB/T 2312" w:eastAsia="国标仿宋-GB/T 2312" w:cs="国标仿宋-GB/T 2312"/>
          <w:sz w:val="32"/>
          <w:szCs w:val="40"/>
          <w:lang w:val="en-US" w:eastAsia="zh-CN"/>
        </w:rPr>
        <w:t>按职工人数核定缴费主体</w:t>
      </w:r>
      <w:r>
        <w:rPr>
          <w:rFonts w:hint="eastAsia" w:ascii="国标仿宋-GB/T 2312" w:hAnsi="国标仿宋-GB/T 2312" w:eastAsia="国标仿宋-GB/T 2312" w:cs="国标仿宋-GB/T 2312"/>
          <w:sz w:val="32"/>
          <w:szCs w:val="40"/>
          <w:lang w:val="en-US" w:eastAsia="zh-CN"/>
        </w:rPr>
        <w:t>（按缴纳社保人员核定）</w:t>
      </w:r>
    </w:p>
    <w:p w14:paraId="74DAE42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国标仿宋-GB/T 2312" w:hAnsi="国标仿宋-GB/T 2312" w:eastAsia="国标仿宋-GB/T 2312" w:cs="国标仿宋-GB/T 2312"/>
          <w:sz w:val="32"/>
          <w:szCs w:val="40"/>
          <w:lang w:val="en-US" w:eastAsia="zh-CN"/>
        </w:rPr>
      </w:pPr>
      <w:r>
        <w:rPr>
          <w:rFonts w:hint="eastAsia" w:ascii="国标仿宋-GB/T 2312" w:hAnsi="国标仿宋-GB/T 2312" w:eastAsia="国标仿宋-GB/T 2312" w:cs="国标仿宋-GB/T 2312"/>
          <w:sz w:val="32"/>
          <w:szCs w:val="40"/>
          <w:lang w:val="en-US" w:eastAsia="zh-CN"/>
        </w:rPr>
        <w:t>市、区</w:t>
      </w:r>
      <w:r>
        <w:rPr>
          <w:rFonts w:hint="default" w:ascii="国标仿宋-GB/T 2312" w:hAnsi="国标仿宋-GB/T 2312" w:eastAsia="国标仿宋-GB/T 2312" w:cs="国标仿宋-GB/T 2312"/>
          <w:sz w:val="32"/>
          <w:szCs w:val="40"/>
          <w:lang w:val="en-US" w:eastAsia="zh-CN"/>
        </w:rPr>
        <w:t>机关事业单位、国有企业</w:t>
      </w:r>
      <w:r>
        <w:rPr>
          <w:rFonts w:hint="eastAsia" w:ascii="国标仿宋-GB/T 2312" w:hAnsi="国标仿宋-GB/T 2312" w:eastAsia="国标仿宋-GB/T 2312" w:cs="国标仿宋-GB/T 2312"/>
          <w:sz w:val="32"/>
          <w:szCs w:val="40"/>
          <w:lang w:val="en-US" w:eastAsia="zh-CN"/>
        </w:rPr>
        <w:t>，中央、省驻甘州区企业、行政事业单位</w:t>
      </w:r>
      <w:r>
        <w:rPr>
          <w:rFonts w:hint="default" w:ascii="国标仿宋-GB/T 2312" w:hAnsi="国标仿宋-GB/T 2312" w:eastAsia="国标仿宋-GB/T 2312" w:cs="国标仿宋-GB/T 2312"/>
          <w:sz w:val="32"/>
          <w:szCs w:val="40"/>
          <w:lang w:val="en-US" w:eastAsia="zh-CN"/>
        </w:rPr>
        <w:t>：由区</w:t>
      </w:r>
      <w:r>
        <w:rPr>
          <w:rFonts w:hint="eastAsia" w:ascii="国标仿宋-GB/T 2312" w:hAnsi="国标仿宋-GB/T 2312" w:eastAsia="国标仿宋-GB/T 2312" w:cs="国标仿宋-GB/T 2312"/>
          <w:sz w:val="32"/>
          <w:szCs w:val="40"/>
          <w:lang w:val="en-US" w:eastAsia="zh-CN"/>
        </w:rPr>
        <w:t>财政局</w:t>
      </w:r>
      <w:r>
        <w:rPr>
          <w:rFonts w:hint="default" w:ascii="国标仿宋-GB/T 2312" w:hAnsi="国标仿宋-GB/T 2312" w:eastAsia="国标仿宋-GB/T 2312" w:cs="国标仿宋-GB/T 2312"/>
          <w:sz w:val="32"/>
          <w:szCs w:val="40"/>
          <w:lang w:val="en-US" w:eastAsia="zh-CN"/>
        </w:rPr>
        <w:t>核定在册职工人数</w:t>
      </w:r>
      <w:r>
        <w:rPr>
          <w:rFonts w:hint="eastAsia" w:ascii="国标仿宋-GB/T 2312" w:hAnsi="国标仿宋-GB/T 2312" w:eastAsia="国标仿宋-GB/T 2312" w:cs="国标仿宋-GB/T 2312"/>
          <w:sz w:val="32"/>
          <w:szCs w:val="40"/>
          <w:lang w:val="en-US" w:eastAsia="zh-CN"/>
        </w:rPr>
        <w:t>和应征金额</w:t>
      </w:r>
      <w:r>
        <w:rPr>
          <w:rFonts w:hint="default" w:ascii="国标仿宋-GB/T 2312" w:hAnsi="国标仿宋-GB/T 2312" w:eastAsia="国标仿宋-GB/T 2312" w:cs="国标仿宋-GB/T 2312"/>
          <w:sz w:val="32"/>
          <w:szCs w:val="40"/>
          <w:lang w:val="en-US" w:eastAsia="zh-CN"/>
        </w:rPr>
        <w:t>；</w:t>
      </w:r>
    </w:p>
    <w:p w14:paraId="0379831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国标仿宋-GB/T 2312" w:hAnsi="国标仿宋-GB/T 2312" w:eastAsia="国标仿宋-GB/T 2312" w:cs="国标仿宋-GB/T 2312"/>
          <w:sz w:val="32"/>
          <w:szCs w:val="40"/>
          <w:lang w:val="en-US" w:eastAsia="zh-CN"/>
        </w:rPr>
      </w:pPr>
      <w:r>
        <w:rPr>
          <w:rFonts w:hint="default" w:ascii="国标仿宋-GB/T 2312" w:hAnsi="国标仿宋-GB/T 2312" w:eastAsia="国标仿宋-GB/T 2312" w:cs="国标仿宋-GB/T 2312"/>
          <w:sz w:val="32"/>
          <w:szCs w:val="40"/>
          <w:lang w:val="en-US" w:eastAsia="zh-CN"/>
        </w:rPr>
        <w:t>城区生产加工企业：由区人社局核定职工人数</w:t>
      </w:r>
      <w:r>
        <w:rPr>
          <w:rFonts w:hint="eastAsia" w:ascii="国标仿宋-GB/T 2312" w:hAnsi="国标仿宋-GB/T 2312" w:eastAsia="国标仿宋-GB/T 2312" w:cs="国标仿宋-GB/T 2312"/>
          <w:sz w:val="32"/>
          <w:szCs w:val="40"/>
          <w:lang w:val="en-US" w:eastAsia="zh-CN"/>
        </w:rPr>
        <w:t>和应征金额</w:t>
      </w:r>
      <w:r>
        <w:rPr>
          <w:rFonts w:hint="default" w:ascii="国标仿宋-GB/T 2312" w:hAnsi="国标仿宋-GB/T 2312" w:eastAsia="国标仿宋-GB/T 2312" w:cs="国标仿宋-GB/T 2312"/>
          <w:sz w:val="32"/>
          <w:szCs w:val="40"/>
          <w:lang w:val="en-US" w:eastAsia="zh-CN"/>
        </w:rPr>
        <w:t>；</w:t>
      </w:r>
    </w:p>
    <w:p w14:paraId="5C06799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国标仿宋-GB/T 2312" w:hAnsi="国标仿宋-GB/T 2312" w:eastAsia="国标仿宋-GB/T 2312" w:cs="国标仿宋-GB/T 2312"/>
          <w:sz w:val="32"/>
          <w:szCs w:val="40"/>
          <w:lang w:val="en-US" w:eastAsia="zh-CN"/>
        </w:rPr>
      </w:pPr>
      <w:r>
        <w:rPr>
          <w:rFonts w:hint="eastAsia" w:ascii="国标仿宋-GB/T 2312" w:hAnsi="国标仿宋-GB/T 2312" w:eastAsia="国标仿宋-GB/T 2312" w:cs="国标仿宋-GB/T 2312"/>
          <w:sz w:val="32"/>
          <w:szCs w:val="40"/>
          <w:lang w:val="en-US" w:eastAsia="zh-CN"/>
        </w:rPr>
        <w:t>邮电通讯</w:t>
      </w:r>
      <w:r>
        <w:rPr>
          <w:rFonts w:hint="default" w:ascii="国标仿宋-GB/T 2312" w:hAnsi="国标仿宋-GB/T 2312" w:eastAsia="国标仿宋-GB/T 2312" w:cs="国标仿宋-GB/T 2312"/>
          <w:sz w:val="32"/>
          <w:szCs w:val="40"/>
          <w:lang w:val="en-US" w:eastAsia="zh-CN"/>
        </w:rPr>
        <w:t>行业：由区工信局核定职工人数</w:t>
      </w:r>
      <w:r>
        <w:rPr>
          <w:rFonts w:hint="eastAsia" w:ascii="国标仿宋-GB/T 2312" w:hAnsi="国标仿宋-GB/T 2312" w:eastAsia="国标仿宋-GB/T 2312" w:cs="国标仿宋-GB/T 2312"/>
          <w:sz w:val="32"/>
          <w:szCs w:val="40"/>
          <w:lang w:val="en-US" w:eastAsia="zh-CN"/>
        </w:rPr>
        <w:t>和应征金额</w:t>
      </w:r>
      <w:r>
        <w:rPr>
          <w:rFonts w:hint="default" w:ascii="国标仿宋-GB/T 2312" w:hAnsi="国标仿宋-GB/T 2312" w:eastAsia="国标仿宋-GB/T 2312" w:cs="国标仿宋-GB/T 2312"/>
          <w:sz w:val="32"/>
          <w:szCs w:val="40"/>
          <w:lang w:val="en-US" w:eastAsia="zh-CN"/>
        </w:rPr>
        <w:t>；</w:t>
      </w:r>
    </w:p>
    <w:p w14:paraId="1A9EF2D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国标仿宋-GB/T 2312" w:hAnsi="国标仿宋-GB/T 2312" w:eastAsia="国标仿宋-GB/T 2312" w:cs="国标仿宋-GB/T 2312"/>
          <w:sz w:val="32"/>
          <w:szCs w:val="40"/>
          <w:lang w:val="en-US" w:eastAsia="zh-CN"/>
        </w:rPr>
      </w:pPr>
      <w:r>
        <w:rPr>
          <w:rFonts w:hint="default" w:ascii="国标仿宋-GB/T 2312" w:hAnsi="国标仿宋-GB/T 2312" w:eastAsia="国标仿宋-GB/T 2312" w:cs="国标仿宋-GB/T 2312"/>
          <w:sz w:val="32"/>
          <w:szCs w:val="40"/>
          <w:lang w:val="en-US" w:eastAsia="zh-CN"/>
        </w:rPr>
        <w:t>金融机构：由区财政局核定职工人数</w:t>
      </w:r>
      <w:r>
        <w:rPr>
          <w:rFonts w:hint="eastAsia" w:ascii="国标仿宋-GB/T 2312" w:hAnsi="国标仿宋-GB/T 2312" w:eastAsia="国标仿宋-GB/T 2312" w:cs="国标仿宋-GB/T 2312"/>
          <w:sz w:val="32"/>
          <w:szCs w:val="40"/>
          <w:lang w:val="en-US" w:eastAsia="zh-CN"/>
        </w:rPr>
        <w:t>和应征金额</w:t>
      </w:r>
      <w:r>
        <w:rPr>
          <w:rFonts w:hint="default" w:ascii="国标仿宋-GB/T 2312" w:hAnsi="国标仿宋-GB/T 2312" w:eastAsia="国标仿宋-GB/T 2312" w:cs="国标仿宋-GB/T 2312"/>
          <w:sz w:val="32"/>
          <w:szCs w:val="40"/>
          <w:lang w:val="en-US" w:eastAsia="zh-CN"/>
        </w:rPr>
        <w:t>；</w:t>
      </w:r>
    </w:p>
    <w:p w14:paraId="24ADEE7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国标仿宋-GB/T 2312" w:hAnsi="国标仿宋-GB/T 2312" w:eastAsia="国标仿宋-GB/T 2312" w:cs="国标仿宋-GB/T 2312"/>
          <w:sz w:val="32"/>
          <w:szCs w:val="40"/>
          <w:lang w:val="en-US" w:eastAsia="zh-CN"/>
        </w:rPr>
      </w:pPr>
      <w:r>
        <w:rPr>
          <w:rFonts w:hint="default" w:ascii="国标仿宋-GB/T 2312" w:hAnsi="国标仿宋-GB/T 2312" w:eastAsia="国标仿宋-GB/T 2312" w:cs="国标仿宋-GB/T 2312"/>
          <w:sz w:val="32"/>
          <w:szCs w:val="40"/>
          <w:lang w:val="en-US" w:eastAsia="zh-CN"/>
        </w:rPr>
        <w:t>交通运输类企业：由区交通局核定职工人数</w:t>
      </w:r>
      <w:r>
        <w:rPr>
          <w:rFonts w:hint="eastAsia" w:ascii="国标仿宋-GB/T 2312" w:hAnsi="国标仿宋-GB/T 2312" w:eastAsia="国标仿宋-GB/T 2312" w:cs="国标仿宋-GB/T 2312"/>
          <w:sz w:val="32"/>
          <w:szCs w:val="40"/>
          <w:lang w:val="en-US" w:eastAsia="zh-CN"/>
        </w:rPr>
        <w:t>和应征金额</w:t>
      </w:r>
      <w:r>
        <w:rPr>
          <w:rFonts w:hint="default" w:ascii="国标仿宋-GB/T 2312" w:hAnsi="国标仿宋-GB/T 2312" w:eastAsia="国标仿宋-GB/T 2312" w:cs="国标仿宋-GB/T 2312"/>
          <w:sz w:val="32"/>
          <w:szCs w:val="40"/>
          <w:lang w:val="en-US" w:eastAsia="zh-CN"/>
        </w:rPr>
        <w:t>。</w:t>
      </w:r>
    </w:p>
    <w:p w14:paraId="4ECD3EF1">
      <w:pPr>
        <w:pStyle w:val="3"/>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default" w:ascii="国标仿宋-GB/T 2312" w:hAnsi="国标仿宋-GB/T 2312" w:eastAsia="国标仿宋-GB/T 2312" w:cs="国标仿宋-GB/T 2312"/>
          <w:sz w:val="32"/>
          <w:szCs w:val="40"/>
          <w:lang w:val="en-US" w:eastAsia="zh-CN"/>
        </w:rPr>
      </w:pPr>
      <w:r>
        <w:rPr>
          <w:rFonts w:hint="eastAsia" w:ascii="国标仿宋-GB/T 2312" w:hAnsi="国标仿宋-GB/T 2312" w:eastAsia="国标仿宋-GB/T 2312" w:cs="国标仿宋-GB/T 2312"/>
          <w:sz w:val="32"/>
          <w:szCs w:val="40"/>
          <w:lang w:val="en-US" w:eastAsia="zh-CN"/>
        </w:rPr>
        <w:t>3.</w:t>
      </w:r>
      <w:r>
        <w:rPr>
          <w:rFonts w:hint="default" w:ascii="国标仿宋-GB/T 2312" w:hAnsi="国标仿宋-GB/T 2312" w:eastAsia="国标仿宋-GB/T 2312" w:cs="国标仿宋-GB/T 2312"/>
          <w:sz w:val="32"/>
          <w:szCs w:val="40"/>
          <w:lang w:val="en-US" w:eastAsia="zh-CN"/>
        </w:rPr>
        <w:t>区商务局：核定星级以下宾馆、招待所床位数量</w:t>
      </w:r>
      <w:r>
        <w:rPr>
          <w:rFonts w:hint="eastAsia" w:ascii="国标仿宋-GB/T 2312" w:hAnsi="国标仿宋-GB/T 2312" w:eastAsia="国标仿宋-GB/T 2312" w:cs="国标仿宋-GB/T 2312"/>
          <w:sz w:val="32"/>
          <w:szCs w:val="40"/>
          <w:lang w:val="en-US" w:eastAsia="zh-CN"/>
        </w:rPr>
        <w:t>及附设餐厅经营场所使用面积</w:t>
      </w:r>
      <w:r>
        <w:rPr>
          <w:rFonts w:hint="default" w:ascii="国标仿宋-GB/T 2312" w:hAnsi="国标仿宋-GB/T 2312" w:eastAsia="国标仿宋-GB/T 2312" w:cs="国标仿宋-GB/T 2312"/>
          <w:sz w:val="32"/>
          <w:szCs w:val="40"/>
          <w:lang w:val="en-US" w:eastAsia="zh-CN"/>
        </w:rPr>
        <w:t>、农贸市场摊位，商业综合体、大型商超</w:t>
      </w:r>
      <w:r>
        <w:rPr>
          <w:rFonts w:hint="eastAsia" w:ascii="国标仿宋-GB/T 2312" w:hAnsi="国标仿宋-GB/T 2312" w:eastAsia="国标仿宋-GB/T 2312" w:cs="国标仿宋-GB/T 2312"/>
          <w:sz w:val="32"/>
          <w:szCs w:val="40"/>
          <w:lang w:val="en-US" w:eastAsia="zh-CN"/>
        </w:rPr>
        <w:t>等职责管理范围内的</w:t>
      </w:r>
      <w:r>
        <w:rPr>
          <w:rFonts w:hint="default" w:ascii="国标仿宋-GB/T 2312" w:hAnsi="国标仿宋-GB/T 2312" w:eastAsia="国标仿宋-GB/T 2312" w:cs="国标仿宋-GB/T 2312"/>
          <w:sz w:val="32"/>
          <w:szCs w:val="40"/>
          <w:lang w:val="en-US" w:eastAsia="zh-CN"/>
        </w:rPr>
        <w:t>经营</w:t>
      </w:r>
      <w:r>
        <w:rPr>
          <w:rFonts w:hint="eastAsia" w:ascii="国标仿宋-GB/T 2312" w:hAnsi="国标仿宋-GB/T 2312" w:eastAsia="国标仿宋-GB/T 2312" w:cs="国标仿宋-GB/T 2312"/>
          <w:sz w:val="32"/>
          <w:szCs w:val="40"/>
          <w:lang w:val="en-US" w:eastAsia="zh-CN"/>
        </w:rPr>
        <w:t>场所使用</w:t>
      </w:r>
      <w:r>
        <w:rPr>
          <w:rFonts w:hint="default" w:ascii="国标仿宋-GB/T 2312" w:hAnsi="国标仿宋-GB/T 2312" w:eastAsia="国标仿宋-GB/T 2312" w:cs="国标仿宋-GB/T 2312"/>
          <w:sz w:val="32"/>
          <w:szCs w:val="40"/>
          <w:lang w:val="en-US" w:eastAsia="zh-CN"/>
        </w:rPr>
        <w:t>面积</w:t>
      </w:r>
      <w:r>
        <w:rPr>
          <w:rFonts w:hint="eastAsia" w:ascii="国标仿宋-GB/T 2312" w:hAnsi="国标仿宋-GB/T 2312" w:eastAsia="国标仿宋-GB/T 2312" w:cs="国标仿宋-GB/T 2312"/>
          <w:sz w:val="32"/>
          <w:szCs w:val="40"/>
          <w:lang w:val="en-US" w:eastAsia="zh-CN"/>
        </w:rPr>
        <w:t>和应征金额</w:t>
      </w:r>
      <w:r>
        <w:rPr>
          <w:rFonts w:hint="default" w:ascii="国标仿宋-GB/T 2312" w:hAnsi="国标仿宋-GB/T 2312" w:eastAsia="国标仿宋-GB/T 2312" w:cs="国标仿宋-GB/T 2312"/>
          <w:sz w:val="32"/>
          <w:szCs w:val="40"/>
          <w:lang w:val="en-US" w:eastAsia="zh-CN"/>
        </w:rPr>
        <w:t>。</w:t>
      </w:r>
    </w:p>
    <w:p w14:paraId="2167697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国标仿宋-GB/T 2312" w:hAnsi="国标仿宋-GB/T 2312" w:eastAsia="国标仿宋-GB/T 2312" w:cs="国标仿宋-GB/T 2312"/>
          <w:sz w:val="32"/>
          <w:szCs w:val="40"/>
          <w:lang w:val="en-US" w:eastAsia="zh-CN"/>
        </w:rPr>
      </w:pPr>
      <w:r>
        <w:rPr>
          <w:rFonts w:hint="eastAsia" w:ascii="国标仿宋-GB/T 2312" w:hAnsi="国标仿宋-GB/T 2312" w:eastAsia="国标仿宋-GB/T 2312" w:cs="国标仿宋-GB/T 2312"/>
          <w:sz w:val="32"/>
          <w:szCs w:val="40"/>
          <w:lang w:val="en-US" w:eastAsia="zh-CN"/>
        </w:rPr>
        <w:t>4.</w:t>
      </w:r>
      <w:r>
        <w:rPr>
          <w:rFonts w:hint="default" w:ascii="国标仿宋-GB/T 2312" w:hAnsi="国标仿宋-GB/T 2312" w:eastAsia="国标仿宋-GB/T 2312" w:cs="国标仿宋-GB/T 2312"/>
          <w:sz w:val="32"/>
          <w:szCs w:val="40"/>
          <w:lang w:val="en-US" w:eastAsia="zh-CN"/>
        </w:rPr>
        <w:t>区文体广电旅游局：核定星级酒店、KTV、网吧、旅行社、文体健身娱乐</w:t>
      </w:r>
      <w:r>
        <w:rPr>
          <w:rFonts w:hint="eastAsia" w:ascii="国标仿宋-GB/T 2312" w:hAnsi="国标仿宋-GB/T 2312" w:eastAsia="国标仿宋-GB/T 2312" w:cs="国标仿宋-GB/T 2312"/>
          <w:sz w:val="32"/>
          <w:szCs w:val="40"/>
          <w:lang w:val="en-US" w:eastAsia="zh-CN"/>
        </w:rPr>
        <w:t>等职责管理范围内的</w:t>
      </w:r>
      <w:r>
        <w:rPr>
          <w:rFonts w:hint="default" w:ascii="国标仿宋-GB/T 2312" w:hAnsi="国标仿宋-GB/T 2312" w:eastAsia="国标仿宋-GB/T 2312" w:cs="国标仿宋-GB/T 2312"/>
          <w:sz w:val="32"/>
          <w:szCs w:val="40"/>
          <w:lang w:val="en-US" w:eastAsia="zh-CN"/>
        </w:rPr>
        <w:t>经营场所</w:t>
      </w:r>
      <w:r>
        <w:rPr>
          <w:rFonts w:hint="eastAsia" w:ascii="国标仿宋-GB/T 2312" w:hAnsi="国标仿宋-GB/T 2312" w:eastAsia="国标仿宋-GB/T 2312" w:cs="国标仿宋-GB/T 2312"/>
          <w:sz w:val="32"/>
          <w:szCs w:val="40"/>
          <w:lang w:val="en-US" w:eastAsia="zh-CN"/>
        </w:rPr>
        <w:t>使用</w:t>
      </w:r>
      <w:r>
        <w:rPr>
          <w:rFonts w:hint="default" w:ascii="国标仿宋-GB/T 2312" w:hAnsi="国标仿宋-GB/T 2312" w:eastAsia="国标仿宋-GB/T 2312" w:cs="国标仿宋-GB/T 2312"/>
          <w:sz w:val="32"/>
          <w:szCs w:val="40"/>
          <w:lang w:val="en-US" w:eastAsia="zh-CN"/>
        </w:rPr>
        <w:t>面积</w:t>
      </w:r>
      <w:r>
        <w:rPr>
          <w:rFonts w:hint="eastAsia" w:ascii="国标仿宋-GB/T 2312" w:hAnsi="国标仿宋-GB/T 2312" w:eastAsia="国标仿宋-GB/T 2312" w:cs="国标仿宋-GB/T 2312"/>
          <w:sz w:val="32"/>
          <w:szCs w:val="40"/>
          <w:lang w:val="en-US" w:eastAsia="zh-CN"/>
        </w:rPr>
        <w:t>和应征金额</w:t>
      </w:r>
      <w:r>
        <w:rPr>
          <w:rFonts w:hint="default" w:ascii="国标仿宋-GB/T 2312" w:hAnsi="国标仿宋-GB/T 2312" w:eastAsia="国标仿宋-GB/T 2312" w:cs="国标仿宋-GB/T 2312"/>
          <w:sz w:val="32"/>
          <w:szCs w:val="40"/>
          <w:lang w:val="en-US" w:eastAsia="zh-CN"/>
        </w:rPr>
        <w:t>。</w:t>
      </w:r>
    </w:p>
    <w:p w14:paraId="07ABC6A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国标仿宋-GB/T 2312" w:hAnsi="国标仿宋-GB/T 2312" w:eastAsia="国标仿宋-GB/T 2312" w:cs="国标仿宋-GB/T 2312"/>
          <w:sz w:val="32"/>
          <w:szCs w:val="40"/>
          <w:lang w:val="en-US" w:eastAsia="zh-CN"/>
        </w:rPr>
      </w:pPr>
      <w:r>
        <w:rPr>
          <w:rFonts w:hint="eastAsia" w:ascii="国标仿宋-GB/T 2312" w:hAnsi="国标仿宋-GB/T 2312" w:eastAsia="国标仿宋-GB/T 2312" w:cs="国标仿宋-GB/T 2312"/>
          <w:sz w:val="32"/>
          <w:szCs w:val="40"/>
          <w:lang w:val="en-US" w:eastAsia="zh-CN"/>
        </w:rPr>
        <w:t>5.</w:t>
      </w:r>
      <w:r>
        <w:rPr>
          <w:rFonts w:hint="default" w:ascii="国标仿宋-GB/T 2312" w:hAnsi="国标仿宋-GB/T 2312" w:eastAsia="国标仿宋-GB/T 2312" w:cs="国标仿宋-GB/T 2312"/>
          <w:sz w:val="32"/>
          <w:szCs w:val="40"/>
          <w:lang w:val="en-US" w:eastAsia="zh-CN"/>
        </w:rPr>
        <w:t>区市场监管局：核定普通商业门店、餐饮经营</w:t>
      </w:r>
      <w:r>
        <w:rPr>
          <w:rFonts w:hint="eastAsia" w:ascii="国标仿宋-GB/T 2312" w:hAnsi="国标仿宋-GB/T 2312" w:eastAsia="国标仿宋-GB/T 2312" w:cs="国标仿宋-GB/T 2312"/>
          <w:sz w:val="32"/>
          <w:szCs w:val="40"/>
          <w:lang w:val="en-US" w:eastAsia="zh-CN"/>
        </w:rPr>
        <w:t>主体等</w:t>
      </w:r>
      <w:r>
        <w:rPr>
          <w:rFonts w:hint="default" w:ascii="国标仿宋-GB/T 2312" w:hAnsi="国标仿宋-GB/T 2312" w:eastAsia="国标仿宋-GB/T 2312" w:cs="国标仿宋-GB/T 2312"/>
          <w:sz w:val="32"/>
          <w:szCs w:val="40"/>
          <w:lang w:val="en-US" w:eastAsia="zh-CN"/>
        </w:rPr>
        <w:t>经营</w:t>
      </w:r>
      <w:r>
        <w:rPr>
          <w:rFonts w:hint="eastAsia" w:ascii="国标仿宋-GB/T 2312" w:hAnsi="国标仿宋-GB/T 2312" w:eastAsia="国标仿宋-GB/T 2312" w:cs="国标仿宋-GB/T 2312"/>
          <w:sz w:val="32"/>
          <w:szCs w:val="40"/>
          <w:lang w:val="en-US" w:eastAsia="zh-CN"/>
        </w:rPr>
        <w:t>场所使用</w:t>
      </w:r>
      <w:r>
        <w:rPr>
          <w:rFonts w:hint="default" w:ascii="国标仿宋-GB/T 2312" w:hAnsi="国标仿宋-GB/T 2312" w:eastAsia="国标仿宋-GB/T 2312" w:cs="国标仿宋-GB/T 2312"/>
          <w:sz w:val="32"/>
          <w:szCs w:val="40"/>
          <w:lang w:val="en-US" w:eastAsia="zh-CN"/>
        </w:rPr>
        <w:t>面积</w:t>
      </w:r>
      <w:r>
        <w:rPr>
          <w:rFonts w:hint="eastAsia" w:ascii="国标仿宋-GB/T 2312" w:hAnsi="国标仿宋-GB/T 2312" w:eastAsia="国标仿宋-GB/T 2312" w:cs="国标仿宋-GB/T 2312"/>
          <w:sz w:val="32"/>
          <w:szCs w:val="40"/>
          <w:lang w:val="en-US" w:eastAsia="zh-CN"/>
        </w:rPr>
        <w:t>和应征金额</w:t>
      </w:r>
      <w:r>
        <w:rPr>
          <w:rFonts w:hint="default" w:ascii="国标仿宋-GB/T 2312" w:hAnsi="国标仿宋-GB/T 2312" w:eastAsia="国标仿宋-GB/T 2312" w:cs="国标仿宋-GB/T 2312"/>
          <w:sz w:val="32"/>
          <w:szCs w:val="40"/>
          <w:lang w:val="en-US" w:eastAsia="zh-CN"/>
        </w:rPr>
        <w:t>。</w:t>
      </w:r>
    </w:p>
    <w:p w14:paraId="74EB675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国标仿宋-GB/T 2312" w:hAnsi="国标仿宋-GB/T 2312" w:eastAsia="国标仿宋-GB/T 2312" w:cs="国标仿宋-GB/T 2312"/>
          <w:sz w:val="32"/>
          <w:szCs w:val="40"/>
          <w:lang w:val="en-US" w:eastAsia="zh-CN"/>
        </w:rPr>
      </w:pPr>
      <w:r>
        <w:rPr>
          <w:rFonts w:hint="eastAsia" w:ascii="国标仿宋-GB/T 2312" w:hAnsi="国标仿宋-GB/T 2312" w:eastAsia="国标仿宋-GB/T 2312" w:cs="国标仿宋-GB/T 2312"/>
          <w:sz w:val="32"/>
          <w:szCs w:val="40"/>
          <w:lang w:val="en-US" w:eastAsia="zh-CN"/>
        </w:rPr>
        <w:t>6.</w:t>
      </w:r>
      <w:r>
        <w:rPr>
          <w:rFonts w:hint="default" w:ascii="国标仿宋-GB/T 2312" w:hAnsi="国标仿宋-GB/T 2312" w:eastAsia="国标仿宋-GB/T 2312" w:cs="国标仿宋-GB/T 2312"/>
          <w:sz w:val="32"/>
          <w:szCs w:val="40"/>
          <w:lang w:val="en-US" w:eastAsia="zh-CN"/>
        </w:rPr>
        <w:t>区卫健局：核定各类医疗机构</w:t>
      </w:r>
      <w:r>
        <w:rPr>
          <w:rFonts w:hint="eastAsia" w:ascii="国标仿宋-GB/T 2312" w:hAnsi="国标仿宋-GB/T 2312" w:eastAsia="国标仿宋-GB/T 2312" w:cs="国标仿宋-GB/T 2312"/>
          <w:sz w:val="32"/>
          <w:szCs w:val="40"/>
          <w:lang w:val="en-US" w:eastAsia="zh-CN"/>
        </w:rPr>
        <w:t>等职责管理范围内的</w:t>
      </w:r>
      <w:r>
        <w:rPr>
          <w:rFonts w:hint="default" w:ascii="国标仿宋-GB/T 2312" w:hAnsi="国标仿宋-GB/T 2312" w:eastAsia="国标仿宋-GB/T 2312" w:cs="国标仿宋-GB/T 2312"/>
          <w:sz w:val="32"/>
          <w:szCs w:val="40"/>
          <w:lang w:val="en-US" w:eastAsia="zh-CN"/>
        </w:rPr>
        <w:t>经营</w:t>
      </w:r>
      <w:r>
        <w:rPr>
          <w:rFonts w:hint="eastAsia" w:ascii="国标仿宋-GB/T 2312" w:hAnsi="国标仿宋-GB/T 2312" w:eastAsia="国标仿宋-GB/T 2312" w:cs="国标仿宋-GB/T 2312"/>
          <w:sz w:val="32"/>
          <w:szCs w:val="40"/>
          <w:lang w:val="en-US" w:eastAsia="zh-CN"/>
        </w:rPr>
        <w:t>场所使用</w:t>
      </w:r>
      <w:r>
        <w:rPr>
          <w:rFonts w:hint="default" w:ascii="国标仿宋-GB/T 2312" w:hAnsi="国标仿宋-GB/T 2312" w:eastAsia="国标仿宋-GB/T 2312" w:cs="国标仿宋-GB/T 2312"/>
          <w:sz w:val="32"/>
          <w:szCs w:val="40"/>
          <w:lang w:val="en-US" w:eastAsia="zh-CN"/>
        </w:rPr>
        <w:t>面积</w:t>
      </w:r>
      <w:r>
        <w:rPr>
          <w:rFonts w:hint="eastAsia" w:ascii="国标仿宋-GB/T 2312" w:hAnsi="国标仿宋-GB/T 2312" w:eastAsia="国标仿宋-GB/T 2312" w:cs="国标仿宋-GB/T 2312"/>
          <w:sz w:val="32"/>
          <w:szCs w:val="40"/>
          <w:lang w:val="en-US" w:eastAsia="zh-CN"/>
        </w:rPr>
        <w:t>和应征金额</w:t>
      </w:r>
      <w:r>
        <w:rPr>
          <w:rFonts w:hint="default" w:ascii="国标仿宋-GB/T 2312" w:hAnsi="国标仿宋-GB/T 2312" w:eastAsia="国标仿宋-GB/T 2312" w:cs="国标仿宋-GB/T 2312"/>
          <w:sz w:val="32"/>
          <w:szCs w:val="40"/>
          <w:lang w:val="en-US" w:eastAsia="zh-CN"/>
        </w:rPr>
        <w:t>。</w:t>
      </w:r>
    </w:p>
    <w:p w14:paraId="0755872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国标仿宋-GB/T 2312" w:hAnsi="国标仿宋-GB/T 2312" w:eastAsia="国标仿宋-GB/T 2312" w:cs="国标仿宋-GB/T 2312"/>
          <w:kern w:val="2"/>
          <w:sz w:val="32"/>
          <w:szCs w:val="40"/>
          <w:lang w:val="en-US" w:eastAsia="zh-CN" w:bidi="ar-SA"/>
        </w:rPr>
      </w:pPr>
      <w:r>
        <w:rPr>
          <w:rFonts w:hint="eastAsia" w:ascii="国标仿宋-GB/T 2312" w:hAnsi="国标仿宋-GB/T 2312" w:eastAsia="国标仿宋-GB/T 2312" w:cs="国标仿宋-GB/T 2312"/>
          <w:sz w:val="32"/>
          <w:szCs w:val="40"/>
          <w:lang w:val="en-US" w:eastAsia="zh-CN"/>
        </w:rPr>
        <w:t>7.</w:t>
      </w:r>
      <w:r>
        <w:rPr>
          <w:rFonts w:hint="default" w:ascii="国标仿宋-GB/T 2312" w:hAnsi="国标仿宋-GB/T 2312" w:eastAsia="国标仿宋-GB/T 2312" w:cs="国标仿宋-GB/T 2312"/>
          <w:sz w:val="32"/>
          <w:szCs w:val="40"/>
          <w:lang w:val="en-US" w:eastAsia="zh-CN"/>
        </w:rPr>
        <w:t>区教育局：核定校外教育培训机构</w:t>
      </w:r>
      <w:r>
        <w:rPr>
          <w:rFonts w:hint="eastAsia" w:ascii="国标仿宋-GB/T 2312" w:hAnsi="国标仿宋-GB/T 2312" w:eastAsia="国标仿宋-GB/T 2312" w:cs="国标仿宋-GB/T 2312"/>
          <w:sz w:val="32"/>
          <w:szCs w:val="40"/>
          <w:lang w:val="en-US" w:eastAsia="zh-CN"/>
        </w:rPr>
        <w:t>等职责管理范围内的</w:t>
      </w:r>
      <w:r>
        <w:rPr>
          <w:rFonts w:hint="default" w:ascii="国标仿宋-GB/T 2312" w:hAnsi="国标仿宋-GB/T 2312" w:eastAsia="国标仿宋-GB/T 2312" w:cs="国标仿宋-GB/T 2312"/>
          <w:sz w:val="32"/>
          <w:szCs w:val="40"/>
          <w:lang w:val="en-US" w:eastAsia="zh-CN"/>
        </w:rPr>
        <w:t>经营</w:t>
      </w:r>
      <w:r>
        <w:rPr>
          <w:rFonts w:hint="eastAsia" w:ascii="国标仿宋-GB/T 2312" w:hAnsi="国标仿宋-GB/T 2312" w:eastAsia="国标仿宋-GB/T 2312" w:cs="国标仿宋-GB/T 2312"/>
          <w:sz w:val="32"/>
          <w:szCs w:val="40"/>
          <w:lang w:val="en-US" w:eastAsia="zh-CN"/>
        </w:rPr>
        <w:t>场所使</w:t>
      </w:r>
      <w:r>
        <w:rPr>
          <w:rFonts w:hint="eastAsia" w:ascii="国标仿宋-GB/T 2312" w:hAnsi="国标仿宋-GB/T 2312" w:eastAsia="国标仿宋-GB/T 2312" w:cs="国标仿宋-GB/T 2312"/>
          <w:kern w:val="2"/>
          <w:sz w:val="32"/>
          <w:szCs w:val="40"/>
          <w:lang w:val="en-US" w:eastAsia="zh-CN" w:bidi="ar-SA"/>
        </w:rPr>
        <w:t>用</w:t>
      </w:r>
      <w:r>
        <w:rPr>
          <w:rFonts w:hint="default" w:ascii="国标仿宋-GB/T 2312" w:hAnsi="国标仿宋-GB/T 2312" w:eastAsia="国标仿宋-GB/T 2312" w:cs="国标仿宋-GB/T 2312"/>
          <w:kern w:val="2"/>
          <w:sz w:val="32"/>
          <w:szCs w:val="40"/>
          <w:lang w:val="en-US" w:eastAsia="zh-CN" w:bidi="ar-SA"/>
        </w:rPr>
        <w:t>面积</w:t>
      </w:r>
      <w:r>
        <w:rPr>
          <w:rFonts w:hint="eastAsia" w:ascii="国标仿宋-GB/T 2312" w:hAnsi="国标仿宋-GB/T 2312" w:eastAsia="国标仿宋-GB/T 2312" w:cs="国标仿宋-GB/T 2312"/>
          <w:sz w:val="32"/>
          <w:szCs w:val="40"/>
          <w:lang w:val="en-US" w:eastAsia="zh-CN"/>
        </w:rPr>
        <w:t>和应征金额</w:t>
      </w:r>
      <w:r>
        <w:rPr>
          <w:rFonts w:hint="default" w:ascii="国标仿宋-GB/T 2312" w:hAnsi="国标仿宋-GB/T 2312" w:eastAsia="国标仿宋-GB/T 2312" w:cs="国标仿宋-GB/T 2312"/>
          <w:kern w:val="2"/>
          <w:sz w:val="32"/>
          <w:szCs w:val="40"/>
          <w:lang w:val="en-US" w:eastAsia="zh-CN" w:bidi="ar-SA"/>
        </w:rPr>
        <w:t>。</w:t>
      </w:r>
    </w:p>
    <w:p w14:paraId="410E547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国标仿宋-GB/T 2312" w:hAnsi="国标仿宋-GB/T 2312" w:eastAsia="国标仿宋-GB/T 2312" w:cs="国标仿宋-GB/T 2312"/>
          <w:sz w:val="32"/>
          <w:szCs w:val="40"/>
          <w:lang w:val="en-US" w:eastAsia="zh-CN"/>
        </w:rPr>
      </w:pPr>
      <w:r>
        <w:rPr>
          <w:rFonts w:hint="eastAsia" w:ascii="国标仿宋-GB/T 2312" w:hAnsi="国标仿宋-GB/T 2312" w:eastAsia="国标仿宋-GB/T 2312" w:cs="国标仿宋-GB/T 2312"/>
          <w:kern w:val="2"/>
          <w:sz w:val="32"/>
          <w:szCs w:val="40"/>
          <w:lang w:val="en-US" w:eastAsia="zh-CN" w:bidi="ar-SA"/>
        </w:rPr>
        <w:t>8.</w:t>
      </w:r>
      <w:r>
        <w:rPr>
          <w:rFonts w:hint="default" w:ascii="国标仿宋-GB/T 2312" w:hAnsi="国标仿宋-GB/T 2312" w:eastAsia="国标仿宋-GB/T 2312" w:cs="国标仿宋-GB/T 2312"/>
          <w:kern w:val="2"/>
          <w:sz w:val="32"/>
          <w:szCs w:val="40"/>
          <w:lang w:val="en-US" w:eastAsia="zh-CN" w:bidi="ar-SA"/>
        </w:rPr>
        <w:t>区农业农村局：核定农资门店、宠物店</w:t>
      </w:r>
      <w:r>
        <w:rPr>
          <w:rFonts w:hint="eastAsia" w:ascii="国标仿宋-GB/T 2312" w:hAnsi="国标仿宋-GB/T 2312" w:eastAsia="国标仿宋-GB/T 2312" w:cs="国标仿宋-GB/T 2312"/>
          <w:kern w:val="2"/>
          <w:sz w:val="32"/>
          <w:szCs w:val="40"/>
          <w:lang w:val="en-US" w:eastAsia="zh-CN" w:bidi="ar-SA"/>
        </w:rPr>
        <w:t>、宠物诊疗机构</w:t>
      </w:r>
      <w:r>
        <w:rPr>
          <w:rFonts w:hint="eastAsia" w:ascii="国标仿宋-GB/T 2312" w:hAnsi="国标仿宋-GB/T 2312" w:eastAsia="国标仿宋-GB/T 2312" w:cs="国标仿宋-GB/T 2312"/>
          <w:sz w:val="32"/>
          <w:szCs w:val="40"/>
          <w:lang w:val="en-US" w:eastAsia="zh-CN"/>
        </w:rPr>
        <w:t>等职责管理范围内的</w:t>
      </w:r>
      <w:r>
        <w:rPr>
          <w:rFonts w:hint="default" w:ascii="国标仿宋-GB/T 2312" w:hAnsi="国标仿宋-GB/T 2312" w:eastAsia="国标仿宋-GB/T 2312" w:cs="国标仿宋-GB/T 2312"/>
          <w:kern w:val="2"/>
          <w:sz w:val="32"/>
          <w:szCs w:val="40"/>
          <w:lang w:val="en-US" w:eastAsia="zh-CN" w:bidi="ar-SA"/>
        </w:rPr>
        <w:t>涉农经</w:t>
      </w:r>
      <w:r>
        <w:rPr>
          <w:rFonts w:hint="default" w:ascii="国标仿宋-GB/T 2312" w:hAnsi="国标仿宋-GB/T 2312" w:eastAsia="国标仿宋-GB/T 2312" w:cs="国标仿宋-GB/T 2312"/>
          <w:sz w:val="32"/>
          <w:szCs w:val="40"/>
          <w:lang w:val="en-US" w:eastAsia="zh-CN"/>
        </w:rPr>
        <w:t>营商户经营</w:t>
      </w:r>
      <w:r>
        <w:rPr>
          <w:rFonts w:hint="eastAsia" w:ascii="国标仿宋-GB/T 2312" w:hAnsi="国标仿宋-GB/T 2312" w:eastAsia="国标仿宋-GB/T 2312" w:cs="国标仿宋-GB/T 2312"/>
          <w:sz w:val="32"/>
          <w:szCs w:val="40"/>
          <w:lang w:val="en-US" w:eastAsia="zh-CN"/>
        </w:rPr>
        <w:t>场所使用</w:t>
      </w:r>
      <w:r>
        <w:rPr>
          <w:rFonts w:hint="default" w:ascii="国标仿宋-GB/T 2312" w:hAnsi="国标仿宋-GB/T 2312" w:eastAsia="国标仿宋-GB/T 2312" w:cs="国标仿宋-GB/T 2312"/>
          <w:sz w:val="32"/>
          <w:szCs w:val="40"/>
          <w:lang w:val="en-US" w:eastAsia="zh-CN"/>
        </w:rPr>
        <w:t>面积</w:t>
      </w:r>
      <w:r>
        <w:rPr>
          <w:rFonts w:hint="eastAsia" w:ascii="国标仿宋-GB/T 2312" w:hAnsi="国标仿宋-GB/T 2312" w:eastAsia="国标仿宋-GB/T 2312" w:cs="国标仿宋-GB/T 2312"/>
          <w:sz w:val="32"/>
          <w:szCs w:val="40"/>
          <w:lang w:val="en-US" w:eastAsia="zh-CN"/>
        </w:rPr>
        <w:t>和应征金额。</w:t>
      </w:r>
    </w:p>
    <w:p w14:paraId="0013458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国标仿宋-GB/T 2312" w:hAnsi="国标仿宋-GB/T 2312" w:eastAsia="国标仿宋-GB/T 2312" w:cs="国标仿宋-GB/T 2312"/>
          <w:sz w:val="32"/>
          <w:szCs w:val="40"/>
          <w:lang w:val="en-US" w:eastAsia="zh-CN"/>
        </w:rPr>
      </w:pPr>
      <w:r>
        <w:rPr>
          <w:rFonts w:hint="eastAsia" w:ascii="国标仿宋-GB/T 2312" w:hAnsi="国标仿宋-GB/T 2312" w:eastAsia="国标仿宋-GB/T 2312" w:cs="国标仿宋-GB/T 2312"/>
          <w:sz w:val="32"/>
          <w:szCs w:val="40"/>
          <w:lang w:val="en-US" w:eastAsia="zh-CN"/>
        </w:rPr>
        <w:t>9.</w:t>
      </w:r>
      <w:r>
        <w:rPr>
          <w:rFonts w:hint="default" w:ascii="国标仿宋-GB/T 2312" w:hAnsi="国标仿宋-GB/T 2312" w:eastAsia="国标仿宋-GB/T 2312" w:cs="国标仿宋-GB/T 2312"/>
          <w:sz w:val="32"/>
          <w:szCs w:val="40"/>
          <w:lang w:val="en-US" w:eastAsia="zh-CN"/>
        </w:rPr>
        <w:t>区司法局：核定律师事务所、法律咨询服务机构</w:t>
      </w:r>
      <w:r>
        <w:rPr>
          <w:rFonts w:hint="eastAsia" w:ascii="国标仿宋-GB/T 2312" w:hAnsi="国标仿宋-GB/T 2312" w:eastAsia="国标仿宋-GB/T 2312" w:cs="国标仿宋-GB/T 2312"/>
          <w:sz w:val="32"/>
          <w:szCs w:val="40"/>
          <w:lang w:val="en-US" w:eastAsia="zh-CN"/>
        </w:rPr>
        <w:t>等职责管理范围内的</w:t>
      </w:r>
      <w:r>
        <w:rPr>
          <w:rFonts w:hint="default" w:ascii="国标仿宋-GB/T 2312" w:hAnsi="国标仿宋-GB/T 2312" w:eastAsia="国标仿宋-GB/T 2312" w:cs="国标仿宋-GB/T 2312"/>
          <w:sz w:val="32"/>
          <w:szCs w:val="40"/>
          <w:lang w:val="en-US" w:eastAsia="zh-CN"/>
        </w:rPr>
        <w:t>经营</w:t>
      </w:r>
      <w:r>
        <w:rPr>
          <w:rFonts w:hint="eastAsia" w:ascii="国标仿宋-GB/T 2312" w:hAnsi="国标仿宋-GB/T 2312" w:eastAsia="国标仿宋-GB/T 2312" w:cs="国标仿宋-GB/T 2312"/>
          <w:sz w:val="32"/>
          <w:szCs w:val="40"/>
          <w:lang w:val="en-US" w:eastAsia="zh-CN"/>
        </w:rPr>
        <w:t>场所使用</w:t>
      </w:r>
      <w:r>
        <w:rPr>
          <w:rFonts w:hint="default" w:ascii="国标仿宋-GB/T 2312" w:hAnsi="国标仿宋-GB/T 2312" w:eastAsia="国标仿宋-GB/T 2312" w:cs="国标仿宋-GB/T 2312"/>
          <w:sz w:val="32"/>
          <w:szCs w:val="40"/>
          <w:lang w:val="en-US" w:eastAsia="zh-CN"/>
        </w:rPr>
        <w:t>面积</w:t>
      </w:r>
      <w:r>
        <w:rPr>
          <w:rFonts w:hint="eastAsia" w:ascii="国标仿宋-GB/T 2312" w:hAnsi="国标仿宋-GB/T 2312" w:eastAsia="国标仿宋-GB/T 2312" w:cs="国标仿宋-GB/T 2312"/>
          <w:sz w:val="32"/>
          <w:szCs w:val="40"/>
          <w:lang w:val="en-US" w:eastAsia="zh-CN"/>
        </w:rPr>
        <w:t>和应征金额</w:t>
      </w:r>
      <w:r>
        <w:rPr>
          <w:rFonts w:hint="default" w:ascii="国标仿宋-GB/T 2312" w:hAnsi="国标仿宋-GB/T 2312" w:eastAsia="国标仿宋-GB/T 2312" w:cs="国标仿宋-GB/T 2312"/>
          <w:sz w:val="32"/>
          <w:szCs w:val="40"/>
          <w:lang w:val="en-US" w:eastAsia="zh-CN"/>
        </w:rPr>
        <w:t>。</w:t>
      </w:r>
    </w:p>
    <w:p w14:paraId="16AF018D">
      <w:pPr>
        <w:pStyle w:val="3"/>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国标仿宋-GB/T 2312" w:hAnsi="国标仿宋-GB/T 2312" w:eastAsia="国标仿宋-GB/T 2312" w:cs="国标仿宋-GB/T 2312"/>
          <w:sz w:val="32"/>
          <w:szCs w:val="40"/>
          <w:lang w:val="en-US" w:eastAsia="zh-CN"/>
        </w:rPr>
      </w:pPr>
      <w:r>
        <w:rPr>
          <w:rFonts w:hint="eastAsia" w:ascii="国标仿宋-GB/T 2312" w:hAnsi="国标仿宋-GB/T 2312" w:eastAsia="国标仿宋-GB/T 2312" w:cs="国标仿宋-GB/T 2312"/>
          <w:kern w:val="2"/>
          <w:sz w:val="32"/>
          <w:szCs w:val="40"/>
          <w:lang w:val="en-US" w:eastAsia="zh-CN" w:bidi="ar-SA"/>
        </w:rPr>
        <w:t>10.区交通运输局：核定各类机械汽车维修</w:t>
      </w:r>
      <w:r>
        <w:rPr>
          <w:rFonts w:hint="eastAsia" w:ascii="国标仿宋-GB/T 2312" w:hAnsi="国标仿宋-GB/T 2312" w:eastAsia="国标仿宋-GB/T 2312" w:cs="国标仿宋-GB/T 2312"/>
          <w:sz w:val="32"/>
          <w:szCs w:val="40"/>
          <w:lang w:val="en-US" w:eastAsia="zh-CN"/>
        </w:rPr>
        <w:t>等职责管理范围内的</w:t>
      </w:r>
      <w:r>
        <w:rPr>
          <w:rFonts w:hint="default" w:ascii="国标仿宋-GB/T 2312" w:hAnsi="国标仿宋-GB/T 2312" w:eastAsia="国标仿宋-GB/T 2312" w:cs="国标仿宋-GB/T 2312"/>
          <w:sz w:val="32"/>
          <w:szCs w:val="40"/>
          <w:lang w:val="en-US" w:eastAsia="zh-CN"/>
        </w:rPr>
        <w:t>经营</w:t>
      </w:r>
      <w:r>
        <w:rPr>
          <w:rFonts w:hint="eastAsia" w:ascii="国标仿宋-GB/T 2312" w:hAnsi="国标仿宋-GB/T 2312" w:eastAsia="国标仿宋-GB/T 2312" w:cs="国标仿宋-GB/T 2312"/>
          <w:sz w:val="32"/>
          <w:szCs w:val="40"/>
          <w:lang w:val="en-US" w:eastAsia="zh-CN"/>
        </w:rPr>
        <w:t>场所使用</w:t>
      </w:r>
      <w:r>
        <w:rPr>
          <w:rFonts w:hint="default" w:ascii="国标仿宋-GB/T 2312" w:hAnsi="国标仿宋-GB/T 2312" w:eastAsia="国标仿宋-GB/T 2312" w:cs="国标仿宋-GB/T 2312"/>
          <w:sz w:val="32"/>
          <w:szCs w:val="40"/>
          <w:lang w:val="en-US" w:eastAsia="zh-CN"/>
        </w:rPr>
        <w:t>面积</w:t>
      </w:r>
      <w:r>
        <w:rPr>
          <w:rFonts w:hint="eastAsia" w:ascii="国标仿宋-GB/T 2312" w:hAnsi="国标仿宋-GB/T 2312" w:eastAsia="国标仿宋-GB/T 2312" w:cs="国标仿宋-GB/T 2312"/>
          <w:sz w:val="32"/>
          <w:szCs w:val="40"/>
          <w:lang w:val="en-US" w:eastAsia="zh-CN"/>
        </w:rPr>
        <w:t>和应征金额。</w:t>
      </w:r>
    </w:p>
    <w:p w14:paraId="6071017F">
      <w:pPr>
        <w:pStyle w:val="3"/>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default" w:ascii="国标仿宋-GB/T 2312" w:hAnsi="国标仿宋-GB/T 2312" w:eastAsia="国标仿宋-GB/T 2312" w:cs="国标仿宋-GB/T 2312"/>
          <w:kern w:val="2"/>
          <w:sz w:val="32"/>
          <w:szCs w:val="40"/>
          <w:lang w:val="en-US" w:eastAsia="zh-CN" w:bidi="ar-SA"/>
        </w:rPr>
      </w:pPr>
      <w:r>
        <w:rPr>
          <w:rFonts w:hint="default" w:ascii="国标仿宋-GB/T 2312" w:hAnsi="国标仿宋-GB/T 2312" w:eastAsia="国标仿宋-GB/T 2312" w:cs="国标仿宋-GB/T 2312"/>
          <w:kern w:val="2"/>
          <w:sz w:val="32"/>
          <w:szCs w:val="40"/>
          <w:lang w:val="en-US" w:eastAsia="zh-CN" w:bidi="ar-SA"/>
        </w:rPr>
        <w:t>所有责任单位</w:t>
      </w:r>
      <w:r>
        <w:rPr>
          <w:rFonts w:hint="eastAsia" w:ascii="国标仿宋-GB/T 2312" w:hAnsi="国标仿宋-GB/T 2312" w:eastAsia="国标仿宋-GB/T 2312" w:cs="国标仿宋-GB/T 2312"/>
          <w:kern w:val="2"/>
          <w:sz w:val="32"/>
          <w:szCs w:val="40"/>
          <w:lang w:val="en-US" w:eastAsia="zh-CN" w:bidi="ar-SA"/>
        </w:rPr>
        <w:t>将核定的台账经单位负责人签字、盖章后于2026年9月25日前送至区财政局、区城市管理局（含电子版），统一推送至区税务局，</w:t>
      </w:r>
      <w:r>
        <w:rPr>
          <w:rFonts w:hint="default" w:ascii="国标仿宋-GB/T 2312" w:hAnsi="国标仿宋-GB/T 2312" w:eastAsia="国标仿宋-GB/T 2312" w:cs="国标仿宋-GB/T 2312"/>
          <w:kern w:val="2"/>
          <w:sz w:val="32"/>
          <w:szCs w:val="40"/>
          <w:lang w:val="en-US" w:eastAsia="zh-CN" w:bidi="ar-SA"/>
        </w:rPr>
        <w:t>作为税务部门征收的法定依据。</w:t>
      </w:r>
    </w:p>
    <w:p w14:paraId="5EBB55B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国标仿宋-GB/T 2312" w:hAnsi="国标仿宋-GB/T 2312" w:eastAsia="国标仿宋-GB/T 2312" w:cs="国标仿宋-GB/T 2312"/>
          <w:sz w:val="32"/>
          <w:szCs w:val="40"/>
          <w:lang w:val="en-US" w:eastAsia="zh-CN"/>
        </w:rPr>
      </w:pPr>
      <w:r>
        <w:rPr>
          <w:rFonts w:hint="eastAsia" w:ascii="国标黑体" w:hAnsi="国标黑体" w:eastAsia="国标黑体" w:cs="国标黑体"/>
          <w:sz w:val="32"/>
          <w:szCs w:val="40"/>
          <w:lang w:val="en-US" w:eastAsia="zh-CN"/>
        </w:rPr>
        <w:t>六、征缴主体与分工模式</w:t>
      </w:r>
    </w:p>
    <w:p w14:paraId="13608BA6">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国标楷体-GB/T 2312" w:hAnsi="国标楷体-GB/T 2312" w:eastAsia="国标楷体-GB/T 2312" w:cs="国标楷体-GB/T 2312"/>
          <w:b/>
          <w:bCs/>
          <w:sz w:val="32"/>
          <w:szCs w:val="40"/>
          <w:lang w:val="en-US" w:eastAsia="zh-CN"/>
        </w:rPr>
      </w:pPr>
      <w:r>
        <w:rPr>
          <w:rFonts w:hint="eastAsia" w:ascii="国标楷体-GB/T 2312" w:hAnsi="国标楷体-GB/T 2312" w:eastAsia="国标楷体-GB/T 2312" w:cs="国标楷体-GB/T 2312"/>
          <w:b/>
          <w:bCs/>
          <w:sz w:val="32"/>
          <w:szCs w:val="40"/>
          <w:lang w:val="en-US" w:eastAsia="zh-CN"/>
        </w:rPr>
        <w:t>（一）征收主体划分</w:t>
      </w:r>
    </w:p>
    <w:p w14:paraId="456BDDE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国标仿宋-GB/T 2312" w:hAnsi="国标仿宋-GB/T 2312" w:eastAsia="国标仿宋-GB/T 2312" w:cs="国标仿宋-GB/T 2312"/>
          <w:sz w:val="32"/>
          <w:szCs w:val="40"/>
          <w:lang w:val="en-US" w:eastAsia="zh-CN"/>
        </w:rPr>
      </w:pPr>
      <w:r>
        <w:rPr>
          <w:rFonts w:hint="default" w:ascii="国标仿宋-GB/T 2312" w:hAnsi="国标仿宋-GB/T 2312" w:eastAsia="国标仿宋-GB/T 2312" w:cs="国标仿宋-GB/T 2312"/>
          <w:sz w:val="32"/>
          <w:szCs w:val="40"/>
          <w:lang w:val="en-US" w:eastAsia="zh-CN"/>
        </w:rPr>
        <w:t>区税务局为全区生活垃圾处理费法定征收主体；区财政局、区城市管理局统筹协调全区征缴各项工作。</w:t>
      </w:r>
    </w:p>
    <w:p w14:paraId="79D4F7E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国标仿宋-GB/T 2312" w:hAnsi="国标仿宋-GB/T 2312" w:eastAsia="国标仿宋-GB/T 2312" w:cs="国标仿宋-GB/T 2312"/>
          <w:sz w:val="32"/>
          <w:szCs w:val="40"/>
          <w:lang w:val="en-US" w:eastAsia="zh-CN"/>
        </w:rPr>
      </w:pPr>
      <w:r>
        <w:rPr>
          <w:rFonts w:hint="eastAsia" w:ascii="国标仿宋-GB/T 2312" w:hAnsi="国标仿宋-GB/T 2312" w:eastAsia="国标仿宋-GB/T 2312" w:cs="国标仿宋-GB/T 2312"/>
          <w:sz w:val="32"/>
          <w:szCs w:val="40"/>
          <w:lang w:val="en-US" w:eastAsia="zh-CN"/>
        </w:rPr>
        <w:t>1.</w:t>
      </w:r>
      <w:r>
        <w:rPr>
          <w:rFonts w:hint="default" w:ascii="国标仿宋-GB/T 2312" w:hAnsi="国标仿宋-GB/T 2312" w:eastAsia="国标仿宋-GB/T 2312" w:cs="国标仿宋-GB/T 2312"/>
          <w:sz w:val="32"/>
          <w:szCs w:val="40"/>
          <w:lang w:val="en-US" w:eastAsia="zh-CN"/>
        </w:rPr>
        <w:t>居民生活垃圾处理费：由区税务局委托上秦镇、梁家墩镇、新墩镇、长安镇，各街道办事处、滨河新区社区服务中心按照属地范围实施代征。</w:t>
      </w:r>
    </w:p>
    <w:p w14:paraId="2235220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国标仿宋-GB/T 2312" w:hAnsi="国标仿宋-GB/T 2312" w:eastAsia="国标仿宋-GB/T 2312" w:cs="国标仿宋-GB/T 2312"/>
          <w:sz w:val="32"/>
          <w:szCs w:val="40"/>
          <w:lang w:val="en-US" w:eastAsia="zh-CN"/>
        </w:rPr>
      </w:pPr>
      <w:r>
        <w:rPr>
          <w:rFonts w:hint="eastAsia" w:ascii="国标仿宋-GB/T 2312" w:hAnsi="国标仿宋-GB/T 2312" w:eastAsia="国标仿宋-GB/T 2312" w:cs="国标仿宋-GB/T 2312"/>
          <w:sz w:val="32"/>
          <w:szCs w:val="40"/>
          <w:lang w:val="en-US" w:eastAsia="zh-CN"/>
        </w:rPr>
        <w:t>2.</w:t>
      </w:r>
      <w:r>
        <w:rPr>
          <w:rFonts w:hint="default" w:ascii="国标仿宋-GB/T 2312" w:hAnsi="国标仿宋-GB/T 2312" w:eastAsia="国标仿宋-GB/T 2312" w:cs="国标仿宋-GB/T 2312"/>
          <w:sz w:val="32"/>
          <w:szCs w:val="40"/>
          <w:lang w:val="en-US" w:eastAsia="zh-CN"/>
        </w:rPr>
        <w:t>机关事业单位、企业、商业经营主体、文娱场所、校外教培机构等非居民缴费主体，由区税务局组织征收。</w:t>
      </w:r>
      <w:r>
        <w:rPr>
          <w:rFonts w:hint="eastAsia" w:ascii="国标仿宋-GB/T 2312" w:hAnsi="国标仿宋-GB/T 2312" w:eastAsia="国标仿宋-GB/T 2312" w:cs="国标仿宋-GB/T 2312"/>
          <w:sz w:val="32"/>
          <w:szCs w:val="40"/>
          <w:lang w:val="en-US" w:eastAsia="zh-CN"/>
        </w:rPr>
        <w:t>区政府相关部门按核定职责划分，</w:t>
      </w:r>
      <w:r>
        <w:rPr>
          <w:rFonts w:hint="default" w:ascii="国标仿宋-GB/T 2312" w:hAnsi="国标仿宋-GB/T 2312" w:eastAsia="国标仿宋-GB/T 2312" w:cs="国标仿宋-GB/T 2312"/>
          <w:sz w:val="32"/>
          <w:szCs w:val="40"/>
          <w:lang w:val="en-US" w:eastAsia="zh-CN"/>
        </w:rPr>
        <w:t>对</w:t>
      </w:r>
      <w:r>
        <w:rPr>
          <w:rFonts w:hint="eastAsia" w:ascii="国标仿宋-GB/T 2312" w:hAnsi="国标仿宋-GB/T 2312" w:eastAsia="国标仿宋-GB/T 2312" w:cs="国标仿宋-GB/T 2312"/>
          <w:sz w:val="32"/>
          <w:szCs w:val="40"/>
          <w:lang w:val="en-US" w:eastAsia="zh-CN"/>
        </w:rPr>
        <w:t>核定职责范围内的</w:t>
      </w:r>
      <w:r>
        <w:rPr>
          <w:rFonts w:hint="default" w:ascii="国标仿宋-GB/T 2312" w:hAnsi="国标仿宋-GB/T 2312" w:eastAsia="国标仿宋-GB/T 2312" w:cs="国标仿宋-GB/T 2312"/>
          <w:sz w:val="32"/>
          <w:szCs w:val="40"/>
          <w:lang w:val="en-US" w:eastAsia="zh-CN"/>
        </w:rPr>
        <w:t>企业、商户、经营主体出具</w:t>
      </w:r>
      <w:r>
        <w:rPr>
          <w:rFonts w:hint="eastAsia" w:ascii="国标仿宋-GB/T 2312" w:hAnsi="国标仿宋-GB/T 2312" w:eastAsia="国标仿宋-GB/T 2312" w:cs="国标仿宋-GB/T 2312"/>
          <w:sz w:val="32"/>
          <w:szCs w:val="40"/>
          <w:lang w:val="en-US" w:eastAsia="zh-CN"/>
        </w:rPr>
        <w:t>全省统一的《城镇垃圾处理费缴费核定通知书》</w:t>
      </w:r>
      <w:r>
        <w:rPr>
          <w:rFonts w:hint="default" w:ascii="国标仿宋-GB/T 2312" w:hAnsi="国标仿宋-GB/T 2312" w:eastAsia="国标仿宋-GB/T 2312" w:cs="国标仿宋-GB/T 2312"/>
          <w:sz w:val="32"/>
          <w:szCs w:val="40"/>
          <w:lang w:val="en-US" w:eastAsia="zh-CN"/>
        </w:rPr>
        <w:t>，明确生活垃圾处理费应缴金额，盖章确认后送达缴费主体</w:t>
      </w:r>
      <w:r>
        <w:rPr>
          <w:rFonts w:hint="eastAsia" w:ascii="国标仿宋-GB/T 2312" w:hAnsi="国标仿宋-GB/T 2312" w:eastAsia="国标仿宋-GB/T 2312" w:cs="国标仿宋-GB/T 2312"/>
          <w:sz w:val="32"/>
          <w:szCs w:val="40"/>
          <w:lang w:val="en-US" w:eastAsia="zh-CN"/>
        </w:rPr>
        <w:t>。</w:t>
      </w:r>
    </w:p>
    <w:p w14:paraId="7B7815F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国标仿宋-GB/T 2312" w:hAnsi="国标仿宋-GB/T 2312" w:eastAsia="国标仿宋-GB/T 2312" w:cs="国标仿宋-GB/T 2312"/>
          <w:sz w:val="32"/>
          <w:szCs w:val="40"/>
          <w:lang w:val="en-US" w:eastAsia="zh-CN"/>
        </w:rPr>
      </w:pPr>
      <w:r>
        <w:rPr>
          <w:rFonts w:hint="eastAsia" w:ascii="国标仿宋-GB/T 2312" w:hAnsi="国标仿宋-GB/T 2312" w:eastAsia="国标仿宋-GB/T 2312" w:cs="国标仿宋-GB/T 2312"/>
          <w:sz w:val="32"/>
          <w:szCs w:val="40"/>
          <w:lang w:val="en-US" w:eastAsia="zh-CN"/>
        </w:rPr>
        <w:t>3.</w:t>
      </w:r>
      <w:r>
        <w:rPr>
          <w:rFonts w:hint="default" w:ascii="国标仿宋-GB/T 2312" w:hAnsi="国标仿宋-GB/T 2312" w:eastAsia="国标仿宋-GB/T 2312" w:cs="国标仿宋-GB/T 2312"/>
          <w:sz w:val="32"/>
          <w:szCs w:val="40"/>
          <w:lang w:val="en-US" w:eastAsia="zh-CN"/>
        </w:rPr>
        <w:t>建筑工地生活垃圾处理费：由区住建局完成</w:t>
      </w:r>
      <w:r>
        <w:rPr>
          <w:rFonts w:hint="eastAsia" w:ascii="国标仿宋-GB/T 2312" w:hAnsi="国标仿宋-GB/T 2312" w:eastAsia="国标仿宋-GB/T 2312" w:cs="国标仿宋-GB/T 2312"/>
          <w:sz w:val="32"/>
          <w:szCs w:val="40"/>
          <w:lang w:val="en-US" w:eastAsia="zh-CN"/>
        </w:rPr>
        <w:t>缴费</w:t>
      </w:r>
      <w:r>
        <w:rPr>
          <w:rFonts w:hint="default" w:ascii="国标仿宋-GB/T 2312" w:hAnsi="国标仿宋-GB/T 2312" w:eastAsia="国标仿宋-GB/T 2312" w:cs="国标仿宋-GB/T 2312"/>
          <w:sz w:val="32"/>
          <w:szCs w:val="40"/>
          <w:lang w:val="en-US" w:eastAsia="zh-CN"/>
        </w:rPr>
        <w:t>基数</w:t>
      </w:r>
      <w:r>
        <w:rPr>
          <w:rFonts w:hint="eastAsia" w:ascii="国标仿宋-GB/T 2312" w:hAnsi="国标仿宋-GB/T 2312" w:eastAsia="国标仿宋-GB/T 2312" w:cs="国标仿宋-GB/T 2312"/>
          <w:sz w:val="32"/>
          <w:szCs w:val="40"/>
          <w:lang w:val="en-US" w:eastAsia="zh-CN"/>
        </w:rPr>
        <w:t>和应缴金额</w:t>
      </w:r>
      <w:r>
        <w:rPr>
          <w:rFonts w:hint="default" w:ascii="国标仿宋-GB/T 2312" w:hAnsi="国标仿宋-GB/T 2312" w:eastAsia="国标仿宋-GB/T 2312" w:cs="国标仿宋-GB/T 2312"/>
          <w:sz w:val="32"/>
          <w:szCs w:val="40"/>
          <w:lang w:val="en-US" w:eastAsia="zh-CN"/>
        </w:rPr>
        <w:t>核定，由区税务局直接征收。</w:t>
      </w:r>
    </w:p>
    <w:p w14:paraId="487AE636">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国标楷体-GB/T 2312" w:hAnsi="国标楷体-GB/T 2312" w:eastAsia="国标楷体-GB/T 2312" w:cs="国标楷体-GB/T 2312"/>
          <w:b/>
          <w:bCs/>
          <w:sz w:val="32"/>
          <w:szCs w:val="40"/>
          <w:lang w:val="en-US" w:eastAsia="zh-CN"/>
        </w:rPr>
      </w:pPr>
      <w:r>
        <w:rPr>
          <w:rFonts w:hint="eastAsia" w:ascii="国标楷体-GB/T 2312" w:hAnsi="国标楷体-GB/T 2312" w:eastAsia="国标楷体-GB/T 2312" w:cs="国标楷体-GB/T 2312"/>
          <w:b/>
          <w:bCs/>
          <w:sz w:val="32"/>
          <w:szCs w:val="40"/>
          <w:lang w:val="en-US" w:eastAsia="zh-CN"/>
        </w:rPr>
        <w:t>（二）协同配合职责</w:t>
      </w:r>
    </w:p>
    <w:p w14:paraId="21E0090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国标仿宋-GB/T 2312" w:hAnsi="国标仿宋-GB/T 2312" w:eastAsia="国标仿宋-GB/T 2312" w:cs="国标仿宋-GB/T 2312"/>
          <w:sz w:val="32"/>
          <w:szCs w:val="40"/>
          <w:lang w:val="en-US" w:eastAsia="zh-CN"/>
        </w:rPr>
      </w:pPr>
      <w:r>
        <w:rPr>
          <w:rFonts w:hint="default" w:ascii="国标仿宋-GB/T 2312" w:hAnsi="国标仿宋-GB/T 2312" w:eastAsia="国标仿宋-GB/T 2312" w:cs="国标仿宋-GB/T 2312"/>
          <w:sz w:val="32"/>
          <w:szCs w:val="40"/>
          <w:lang w:val="en-US" w:eastAsia="zh-CN"/>
        </w:rPr>
        <w:t>充分发挥行业主管部门专业监管优势、属地网格化治理效能，建立行业牵头、属地联动、分片包干的协同征收工作机制，凝聚生活垃圾处理费征缴合力。</w:t>
      </w:r>
    </w:p>
    <w:p w14:paraId="7E66BC5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left"/>
        <w:textAlignment w:val="auto"/>
        <w:rPr>
          <w:rFonts w:hint="eastAsia" w:ascii="国标仿宋-GB/T 2312" w:hAnsi="国标仿宋-GB/T 2312" w:eastAsia="国标仿宋-GB/T 2312" w:cs="国标仿宋-GB/T 2312"/>
          <w:sz w:val="32"/>
          <w:szCs w:val="40"/>
          <w:lang w:val="en-US" w:eastAsia="zh-CN"/>
        </w:rPr>
      </w:pPr>
      <w:r>
        <w:rPr>
          <w:rFonts w:hint="eastAsia" w:ascii="国标仿宋-GB/T 2312" w:hAnsi="国标仿宋-GB/T 2312" w:eastAsia="国标仿宋-GB/T 2312" w:cs="国标仿宋-GB/T 2312"/>
          <w:b/>
          <w:bCs/>
          <w:sz w:val="32"/>
          <w:szCs w:val="40"/>
          <w:lang w:val="en-US" w:eastAsia="zh-CN"/>
        </w:rPr>
        <w:t>1.</w:t>
      </w:r>
      <w:r>
        <w:rPr>
          <w:rFonts w:hint="default" w:ascii="国标仿宋-GB/T 2312" w:hAnsi="国标仿宋-GB/T 2312" w:eastAsia="国标仿宋-GB/T 2312" w:cs="国标仿宋-GB/T 2312"/>
          <w:b/>
          <w:bCs/>
          <w:sz w:val="32"/>
          <w:szCs w:val="40"/>
          <w:lang w:val="en-US" w:eastAsia="zh-CN"/>
        </w:rPr>
        <w:t>行业主管</w:t>
      </w:r>
      <w:r>
        <w:rPr>
          <w:rFonts w:hint="eastAsia" w:ascii="国标仿宋-GB/T 2312" w:hAnsi="国标仿宋-GB/T 2312" w:eastAsia="国标仿宋-GB/T 2312" w:cs="国标仿宋-GB/T 2312"/>
          <w:b/>
          <w:bCs/>
          <w:sz w:val="32"/>
          <w:szCs w:val="40"/>
          <w:lang w:val="en-US" w:eastAsia="zh-CN"/>
        </w:rPr>
        <w:t>部门</w:t>
      </w:r>
      <w:r>
        <w:rPr>
          <w:rFonts w:hint="default" w:ascii="国标仿宋-GB/T 2312" w:hAnsi="国标仿宋-GB/T 2312" w:eastAsia="国标仿宋-GB/T 2312" w:cs="国标仿宋-GB/T 2312"/>
          <w:b/>
          <w:bCs/>
          <w:sz w:val="32"/>
          <w:szCs w:val="40"/>
          <w:lang w:val="en-US" w:eastAsia="zh-CN"/>
        </w:rPr>
        <w:t>履职推进。</w:t>
      </w:r>
      <w:r>
        <w:rPr>
          <w:rFonts w:hint="eastAsia" w:ascii="国标仿宋-GB/T 2312" w:hAnsi="国标仿宋-GB/T 2312" w:eastAsia="国标仿宋-GB/T 2312" w:cs="国标仿宋-GB/T 2312"/>
          <w:b w:val="0"/>
          <w:bCs w:val="0"/>
          <w:sz w:val="32"/>
          <w:szCs w:val="40"/>
          <w:lang w:val="en-US" w:eastAsia="zh-CN"/>
        </w:rPr>
        <w:t>区人社局、区财政局、区工信局、</w:t>
      </w:r>
      <w:r>
        <w:rPr>
          <w:rFonts w:hint="default" w:ascii="国标仿宋-GB/T 2312" w:hAnsi="国标仿宋-GB/T 2312" w:eastAsia="国标仿宋-GB/T 2312" w:cs="国标仿宋-GB/T 2312"/>
          <w:sz w:val="32"/>
          <w:szCs w:val="40"/>
          <w:lang w:val="en-US" w:eastAsia="zh-CN"/>
        </w:rPr>
        <w:t>区市场监管局、区商务局、区文体广电旅游局、区卫健局、区教育局、区农业农村局、区交通</w:t>
      </w:r>
      <w:r>
        <w:rPr>
          <w:rFonts w:hint="eastAsia" w:ascii="国标仿宋-GB/T 2312" w:hAnsi="国标仿宋-GB/T 2312" w:eastAsia="国标仿宋-GB/T 2312" w:cs="国标仿宋-GB/T 2312"/>
          <w:sz w:val="32"/>
          <w:szCs w:val="40"/>
          <w:lang w:val="en-US" w:eastAsia="zh-CN"/>
        </w:rPr>
        <w:t>运输</w:t>
      </w:r>
      <w:r>
        <w:rPr>
          <w:rFonts w:hint="default" w:ascii="国标仿宋-GB/T 2312" w:hAnsi="国标仿宋-GB/T 2312" w:eastAsia="国标仿宋-GB/T 2312" w:cs="国标仿宋-GB/T 2312"/>
          <w:sz w:val="32"/>
          <w:szCs w:val="40"/>
          <w:lang w:val="en-US" w:eastAsia="zh-CN"/>
        </w:rPr>
        <w:t>局、区司法局等立足行业监管职能，面向管辖领域经营主体常态化开展政策入户宣讲、合规督导提醒，协同做好欠费主体催收工作；区财政局牵头抓好</w:t>
      </w:r>
      <w:r>
        <w:rPr>
          <w:rFonts w:hint="eastAsia" w:ascii="国标仿宋-GB/T 2312" w:hAnsi="国标仿宋-GB/T 2312" w:eastAsia="国标仿宋-GB/T 2312" w:cs="国标仿宋-GB/T 2312"/>
          <w:sz w:val="32"/>
          <w:szCs w:val="40"/>
          <w:lang w:val="en-US" w:eastAsia="zh-CN"/>
        </w:rPr>
        <w:t>市、</w:t>
      </w:r>
      <w:r>
        <w:rPr>
          <w:rFonts w:hint="default" w:ascii="国标仿宋-GB/T 2312" w:hAnsi="国标仿宋-GB/T 2312" w:eastAsia="国标仿宋-GB/T 2312" w:cs="国标仿宋-GB/T 2312"/>
          <w:sz w:val="32"/>
          <w:szCs w:val="40"/>
          <w:lang w:val="en-US" w:eastAsia="zh-CN"/>
        </w:rPr>
        <w:t>区属行政事业单位、国有企业</w:t>
      </w:r>
      <w:r>
        <w:rPr>
          <w:rFonts w:hint="eastAsia" w:ascii="国标仿宋-GB/T 2312" w:hAnsi="国标仿宋-GB/T 2312" w:eastAsia="国标仿宋-GB/T 2312" w:cs="国标仿宋-GB/T 2312"/>
          <w:sz w:val="32"/>
          <w:szCs w:val="40"/>
          <w:lang w:val="en-US" w:eastAsia="zh-CN"/>
        </w:rPr>
        <w:t>、中央、省驻区企业、行政事业单位</w:t>
      </w:r>
      <w:r>
        <w:rPr>
          <w:rFonts w:hint="default" w:ascii="国标仿宋-GB/T 2312" w:hAnsi="国标仿宋-GB/T 2312" w:eastAsia="国标仿宋-GB/T 2312" w:cs="国标仿宋-GB/T 2312"/>
          <w:sz w:val="32"/>
          <w:szCs w:val="40"/>
          <w:lang w:val="en-US" w:eastAsia="zh-CN"/>
        </w:rPr>
        <w:t>费用清缴工作。经营商铺征缴工作由区市场监管局统筹，联合社区协同推进，依托各市场监管所力量对辖区商户分片包干、逐户对接</w:t>
      </w:r>
      <w:r>
        <w:rPr>
          <w:rFonts w:hint="eastAsia" w:ascii="国标仿宋-GB/T 2312" w:hAnsi="国标仿宋-GB/T 2312" w:eastAsia="国标仿宋-GB/T 2312" w:cs="国标仿宋-GB/T 2312"/>
          <w:sz w:val="32"/>
          <w:szCs w:val="40"/>
          <w:lang w:val="en-US" w:eastAsia="zh-CN"/>
        </w:rPr>
        <w:t xml:space="preserve">催缴。  </w:t>
      </w:r>
    </w:p>
    <w:p w14:paraId="59F80EC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left"/>
        <w:textAlignment w:val="auto"/>
        <w:rPr>
          <w:rFonts w:hint="default" w:ascii="国标仿宋-GB/T 2312" w:hAnsi="国标仿宋-GB/T 2312" w:eastAsia="国标仿宋-GB/T 2312" w:cs="国标仿宋-GB/T 2312"/>
          <w:sz w:val="32"/>
          <w:szCs w:val="40"/>
          <w:lang w:val="en-US" w:eastAsia="zh-CN"/>
        </w:rPr>
      </w:pPr>
      <w:r>
        <w:rPr>
          <w:rFonts w:hint="eastAsia" w:ascii="国标仿宋-GB/T 2312" w:hAnsi="国标仿宋-GB/T 2312" w:eastAsia="国标仿宋-GB/T 2312" w:cs="国标仿宋-GB/T 2312"/>
          <w:b/>
          <w:bCs/>
          <w:sz w:val="32"/>
          <w:szCs w:val="40"/>
          <w:lang w:val="en-US" w:eastAsia="zh-CN"/>
        </w:rPr>
        <w:t>2.</w:t>
      </w:r>
      <w:r>
        <w:rPr>
          <w:rFonts w:hint="default" w:ascii="国标仿宋-GB/T 2312" w:hAnsi="国标仿宋-GB/T 2312" w:eastAsia="国标仿宋-GB/T 2312" w:cs="国标仿宋-GB/T 2312"/>
          <w:b/>
          <w:bCs/>
          <w:sz w:val="32"/>
          <w:szCs w:val="40"/>
          <w:lang w:val="en-US" w:eastAsia="zh-CN"/>
        </w:rPr>
        <w:t>属地单元联动落实</w:t>
      </w:r>
      <w:r>
        <w:rPr>
          <w:rFonts w:hint="eastAsia" w:ascii="国标仿宋-GB/T 2312" w:hAnsi="国标仿宋-GB/T 2312" w:eastAsia="国标仿宋-GB/T 2312" w:cs="国标仿宋-GB/T 2312"/>
          <w:b/>
          <w:bCs/>
          <w:sz w:val="32"/>
          <w:szCs w:val="40"/>
          <w:lang w:val="en-US" w:eastAsia="zh-CN"/>
        </w:rPr>
        <w:t>。</w:t>
      </w:r>
      <w:r>
        <w:rPr>
          <w:rFonts w:hint="default" w:ascii="国标仿宋-GB/T 2312" w:hAnsi="国标仿宋-GB/T 2312" w:eastAsia="国标仿宋-GB/T 2312" w:cs="国标仿宋-GB/T 2312"/>
          <w:sz w:val="32"/>
          <w:szCs w:val="40"/>
          <w:lang w:val="en-US" w:eastAsia="zh-CN"/>
        </w:rPr>
        <w:t>城郊四镇、各街道办事处、滨河新区社区服务中心严格落实属地管理主体责任，依托社区网格员搭建网格化征收体系，全覆盖开展政策宣传、前置提醒、常态化上门催缴。各城郊镇、</w:t>
      </w:r>
      <w:r>
        <w:rPr>
          <w:rFonts w:hint="eastAsia" w:ascii="国标仿宋-GB/T 2312" w:hAnsi="国标仿宋-GB/T 2312" w:eastAsia="国标仿宋-GB/T 2312" w:cs="国标仿宋-GB/T 2312"/>
          <w:sz w:val="32"/>
          <w:szCs w:val="40"/>
          <w:lang w:val="en-US" w:eastAsia="zh-CN"/>
        </w:rPr>
        <w:t>街道要</w:t>
      </w:r>
      <w:r>
        <w:rPr>
          <w:rFonts w:hint="default" w:ascii="国标仿宋-GB/T 2312" w:hAnsi="国标仿宋-GB/T 2312" w:eastAsia="国标仿宋-GB/T 2312" w:cs="国标仿宋-GB/T 2312"/>
          <w:sz w:val="32"/>
          <w:szCs w:val="40"/>
          <w:lang w:val="en-US" w:eastAsia="zh-CN"/>
        </w:rPr>
        <w:t>主动对接各行业主管部门，共享经营主体台账信息，协同开展分片包干入户工作，形成行业监管与属地治理双向联动机制，最大限度消除漏管漏缴点位，提升征缴全覆盖水平。</w:t>
      </w:r>
    </w:p>
    <w:p w14:paraId="3DE992C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left"/>
        <w:textAlignment w:val="auto"/>
        <w:rPr>
          <w:rFonts w:hint="default" w:ascii="国标仿宋-GB/T 2312" w:hAnsi="国标仿宋-GB/T 2312" w:eastAsia="国标仿宋-GB/T 2312" w:cs="国标仿宋-GB/T 2312"/>
          <w:sz w:val="32"/>
          <w:szCs w:val="40"/>
          <w:lang w:val="en-US" w:eastAsia="zh-CN"/>
        </w:rPr>
      </w:pPr>
      <w:r>
        <w:rPr>
          <w:rFonts w:hint="eastAsia" w:ascii="国标仿宋-GB/T 2312" w:hAnsi="国标仿宋-GB/T 2312" w:eastAsia="国标仿宋-GB/T 2312" w:cs="国标仿宋-GB/T 2312"/>
          <w:b/>
          <w:bCs/>
          <w:sz w:val="32"/>
          <w:szCs w:val="40"/>
          <w:lang w:val="en-US" w:eastAsia="zh-CN"/>
        </w:rPr>
        <w:t>3.</w:t>
      </w:r>
      <w:r>
        <w:rPr>
          <w:rFonts w:hint="default" w:ascii="国标仿宋-GB/T 2312" w:hAnsi="国标仿宋-GB/T 2312" w:eastAsia="国标仿宋-GB/T 2312" w:cs="国标仿宋-GB/T 2312"/>
          <w:b/>
          <w:bCs/>
          <w:sz w:val="32"/>
          <w:szCs w:val="40"/>
          <w:lang w:val="en-US" w:eastAsia="zh-CN"/>
        </w:rPr>
        <w:t>代征激励机制。</w:t>
      </w:r>
      <w:r>
        <w:rPr>
          <w:rFonts w:hint="default" w:ascii="国标仿宋-GB/T 2312" w:hAnsi="国标仿宋-GB/T 2312" w:eastAsia="国标仿宋-GB/T 2312" w:cs="国标仿宋-GB/T 2312"/>
          <w:sz w:val="32"/>
          <w:szCs w:val="40"/>
          <w:lang w:val="en-US" w:eastAsia="zh-CN"/>
        </w:rPr>
        <w:t>区财政局按照取之于民、用之于民的原则，建立健全长效机制，在完成年度征收任务基础上，每年将垃圾处理费征收总额的 5%作为奖励经费（含非公职人员补贴，公职人员不得享受），用于保障城郊乡镇、各街道工作经费调动工作积极性。</w:t>
      </w:r>
    </w:p>
    <w:p w14:paraId="5C510FEB">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default" w:ascii="国标仿宋-GB/T 2312" w:hAnsi="国标仿宋-GB/T 2312" w:eastAsia="国标仿宋-GB/T 2312" w:cs="国标仿宋-GB/T 2312"/>
          <w:sz w:val="32"/>
          <w:szCs w:val="40"/>
          <w:lang w:val="en-US" w:eastAsia="zh-CN"/>
        </w:rPr>
      </w:pPr>
      <w:r>
        <w:rPr>
          <w:rFonts w:hint="eastAsia" w:ascii="国标仿宋-GB/T 2312" w:hAnsi="国标仿宋-GB/T 2312" w:eastAsia="国标仿宋-GB/T 2312" w:cs="国标仿宋-GB/T 2312"/>
          <w:b/>
          <w:bCs/>
          <w:sz w:val="32"/>
          <w:szCs w:val="40"/>
          <w:lang w:val="en-US" w:eastAsia="zh-CN"/>
        </w:rPr>
        <w:t>4.</w:t>
      </w:r>
      <w:r>
        <w:rPr>
          <w:rFonts w:hint="default" w:ascii="国标仿宋-GB/T 2312" w:hAnsi="国标仿宋-GB/T 2312" w:eastAsia="国标仿宋-GB/T 2312" w:cs="国标仿宋-GB/T 2312"/>
          <w:b/>
          <w:bCs/>
          <w:sz w:val="32"/>
          <w:szCs w:val="40"/>
          <w:lang w:val="en-US" w:eastAsia="zh-CN"/>
        </w:rPr>
        <w:t>欠费处置机制</w:t>
      </w:r>
      <w:r>
        <w:rPr>
          <w:rFonts w:hint="default" w:ascii="国标仿宋-GB/T 2312" w:hAnsi="国标仿宋-GB/T 2312" w:eastAsia="国标仿宋-GB/T 2312" w:cs="国标仿宋-GB/T 2312"/>
          <w:sz w:val="32"/>
          <w:szCs w:val="40"/>
          <w:lang w:val="en-US" w:eastAsia="zh-CN"/>
        </w:rPr>
        <w:t>。构建“提醒催缴、限期整改、依法处罚、信用约束”闭环欠费处置体系。依据《城市生活垃圾管理办法》第三十八条规定，对逾期未缴费主体，由税务部门依法下达催缴文书；对长期拖欠、恶意拒缴、拒不整改的缴费主体，移交城市管理部门依法责令限期改正，逾期仍不改正的依规实施行政处罚。建立欠费信息公示机制，依规公示长期欠费单位信息，落实失信惩戒约束，强化行政执法震慑。</w:t>
      </w:r>
    </w:p>
    <w:p w14:paraId="5354F830">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default" w:ascii="国标仿宋-GB/T 2312" w:hAnsi="国标仿宋-GB/T 2312" w:eastAsia="国标仿宋-GB/T 2312" w:cs="国标仿宋-GB/T 2312"/>
          <w:sz w:val="32"/>
          <w:szCs w:val="40"/>
          <w:lang w:val="en-US" w:eastAsia="zh-CN"/>
        </w:rPr>
      </w:pPr>
      <w:r>
        <w:rPr>
          <w:rFonts w:hint="eastAsia" w:ascii="国标仿宋-GB/T 2312" w:hAnsi="国标仿宋-GB/T 2312" w:eastAsia="国标仿宋-GB/T 2312" w:cs="国标仿宋-GB/T 2312"/>
          <w:b/>
          <w:bCs/>
          <w:sz w:val="32"/>
          <w:szCs w:val="40"/>
          <w:lang w:val="en-US" w:eastAsia="zh-CN"/>
        </w:rPr>
        <w:t>5.</w:t>
      </w:r>
      <w:r>
        <w:rPr>
          <w:rFonts w:hint="default" w:ascii="国标仿宋-GB/T 2312" w:hAnsi="国标仿宋-GB/T 2312" w:eastAsia="国标仿宋-GB/T 2312" w:cs="国标仿宋-GB/T 2312"/>
          <w:b/>
          <w:bCs/>
          <w:sz w:val="32"/>
          <w:szCs w:val="40"/>
          <w:lang w:val="en-US" w:eastAsia="zh-CN"/>
        </w:rPr>
        <w:t>征缴数据比对机制。</w:t>
      </w:r>
      <w:r>
        <w:rPr>
          <w:rFonts w:hint="default" w:ascii="国标仿宋-GB/T 2312" w:hAnsi="国标仿宋-GB/T 2312" w:eastAsia="国标仿宋-GB/T 2312" w:cs="国标仿宋-GB/T 2312"/>
          <w:sz w:val="32"/>
          <w:szCs w:val="40"/>
          <w:lang w:val="en-US" w:eastAsia="zh-CN"/>
        </w:rPr>
        <w:t>区税务局每月底将缴费主体申报数据、实际入库数据与各部门核定应征数据开展交叉比对，梳理形成未申报、少申报、费款未入库疑点清单，及时反馈区财政局、区城市管理局及各行业主管部门，联合开展专项核查、风险提醒、约谈警示，纠正不足额申报、漏申报行为，防范费款流失。</w:t>
      </w:r>
    </w:p>
    <w:p w14:paraId="6B1F89DF">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default" w:ascii="国标仿宋-GB/T 2312" w:hAnsi="国标仿宋-GB/T 2312" w:eastAsia="国标仿宋-GB/T 2312" w:cs="国标仿宋-GB/T 2312"/>
          <w:sz w:val="32"/>
          <w:szCs w:val="40"/>
          <w:lang w:val="en-US" w:eastAsia="zh-CN"/>
        </w:rPr>
      </w:pPr>
      <w:r>
        <w:rPr>
          <w:rFonts w:hint="eastAsia" w:ascii="国标仿宋-GB/T 2312" w:hAnsi="国标仿宋-GB/T 2312" w:eastAsia="国标仿宋-GB/T 2312" w:cs="国标仿宋-GB/T 2312"/>
          <w:b/>
          <w:bCs/>
          <w:sz w:val="32"/>
          <w:szCs w:val="40"/>
          <w:lang w:val="en-US" w:eastAsia="zh-CN"/>
        </w:rPr>
        <w:t>6.</w:t>
      </w:r>
      <w:r>
        <w:rPr>
          <w:rFonts w:hint="default" w:ascii="国标仿宋-GB/T 2312" w:hAnsi="国标仿宋-GB/T 2312" w:eastAsia="国标仿宋-GB/T 2312" w:cs="国标仿宋-GB/T 2312"/>
          <w:b/>
          <w:bCs/>
          <w:sz w:val="32"/>
          <w:szCs w:val="40"/>
          <w:lang w:val="en-US" w:eastAsia="zh-CN"/>
        </w:rPr>
        <w:t>缴费服务保障。</w:t>
      </w:r>
      <w:r>
        <w:rPr>
          <w:rFonts w:hint="default" w:ascii="国标仿宋-GB/T 2312" w:hAnsi="国标仿宋-GB/T 2312" w:eastAsia="国标仿宋-GB/T 2312" w:cs="国标仿宋-GB/T 2312"/>
          <w:sz w:val="32"/>
          <w:szCs w:val="40"/>
          <w:lang w:val="en-US" w:eastAsia="zh-CN"/>
        </w:rPr>
        <w:t>居民缴费所需票据由区财政局统一配发至各代征单位；非居民缴费主体按照税务征管要求，通过电子税务局自主申报缴纳，自行在电子税务局开具缴费票据。区委宣传部联合区城市管理局统筹推进全域征缴政策宣传工作。</w:t>
      </w:r>
    </w:p>
    <w:p w14:paraId="7958DB0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国标黑体" w:hAnsi="国标黑体" w:eastAsia="国标黑体" w:cs="国标黑体"/>
          <w:sz w:val="32"/>
          <w:szCs w:val="40"/>
          <w:lang w:val="en-US" w:eastAsia="zh-CN"/>
        </w:rPr>
      </w:pPr>
      <w:r>
        <w:rPr>
          <w:rFonts w:hint="eastAsia" w:ascii="国标黑体" w:hAnsi="国标黑体" w:eastAsia="国标黑体" w:cs="国标黑体"/>
          <w:sz w:val="32"/>
          <w:szCs w:val="40"/>
          <w:lang w:val="en-US" w:eastAsia="zh-CN"/>
        </w:rPr>
        <w:t>七、全周期征收时限安排</w:t>
      </w:r>
    </w:p>
    <w:p w14:paraId="3600C8D7">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国标仿宋-GB/T 2312" w:hAnsi="国标仿宋-GB/T 2312" w:eastAsia="国标仿宋-GB/T 2312" w:cs="国标仿宋-GB/T 2312"/>
          <w:sz w:val="32"/>
          <w:szCs w:val="40"/>
          <w:lang w:val="en-US" w:eastAsia="zh-CN"/>
        </w:rPr>
      </w:pPr>
      <w:r>
        <w:rPr>
          <w:rFonts w:hint="eastAsia" w:ascii="国标仿宋-GB/T 2312" w:hAnsi="国标仿宋-GB/T 2312" w:eastAsia="国标仿宋-GB/T 2312" w:cs="国标仿宋-GB/T 2312"/>
          <w:b/>
          <w:bCs/>
          <w:sz w:val="32"/>
          <w:szCs w:val="40"/>
          <w:lang w:val="en-US" w:eastAsia="zh-CN"/>
        </w:rPr>
        <w:t>1.启动阶段：</w:t>
      </w:r>
      <w:r>
        <w:rPr>
          <w:rFonts w:hint="eastAsia" w:ascii="国标仿宋-GB/T 2312" w:hAnsi="国标仿宋-GB/T 2312" w:eastAsia="国标仿宋-GB/T 2312" w:cs="国标仿宋-GB/T 2312"/>
          <w:sz w:val="32"/>
          <w:szCs w:val="40"/>
          <w:lang w:val="en-US" w:eastAsia="zh-CN"/>
        </w:rPr>
        <w:t>本</w:t>
      </w:r>
      <w:r>
        <w:rPr>
          <w:rFonts w:hint="default" w:ascii="国标仿宋-GB/T 2312" w:hAnsi="国标仿宋-GB/T 2312" w:eastAsia="国标仿宋-GB/T 2312" w:cs="国标仿宋-GB/T 2312"/>
          <w:sz w:val="32"/>
          <w:szCs w:val="40"/>
          <w:lang w:eastAsia="zh-CN"/>
        </w:rPr>
        <w:t>方案</w:t>
      </w:r>
      <w:r>
        <w:rPr>
          <w:rFonts w:hint="eastAsia" w:ascii="国标仿宋-GB/T 2312" w:hAnsi="国标仿宋-GB/T 2312" w:eastAsia="国标仿宋-GB/T 2312" w:cs="国标仿宋-GB/T 2312"/>
          <w:sz w:val="32"/>
          <w:szCs w:val="40"/>
          <w:lang w:val="en-US" w:eastAsia="zh-CN"/>
        </w:rPr>
        <w:t>印发当日起，全面启动2026年度垃圾处理费摸排、宣传、征缴各项工作；</w:t>
      </w:r>
    </w:p>
    <w:p w14:paraId="66F46D6E">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国标仿宋-GB/T 2312" w:hAnsi="国标仿宋-GB/T 2312" w:eastAsia="国标仿宋-GB/T 2312" w:cs="国标仿宋-GB/T 2312"/>
          <w:sz w:val="32"/>
          <w:szCs w:val="40"/>
          <w:lang w:val="en-US" w:eastAsia="zh-CN"/>
        </w:rPr>
      </w:pPr>
      <w:r>
        <w:rPr>
          <w:rFonts w:hint="eastAsia" w:ascii="国标仿宋-GB/T 2312" w:hAnsi="国标仿宋-GB/T 2312" w:eastAsia="国标仿宋-GB/T 2312" w:cs="国标仿宋-GB/T 2312"/>
          <w:b/>
          <w:bCs/>
          <w:sz w:val="32"/>
          <w:szCs w:val="40"/>
          <w:lang w:val="en-US" w:eastAsia="zh-CN"/>
        </w:rPr>
        <w:t>2.汇总上报阶段：</w:t>
      </w:r>
      <w:r>
        <w:rPr>
          <w:rFonts w:hint="eastAsia" w:ascii="国标仿宋-GB/T 2312" w:hAnsi="国标仿宋-GB/T 2312" w:eastAsia="国标仿宋-GB/T 2312" w:cs="国标仿宋-GB/T 2312"/>
          <w:b w:val="0"/>
          <w:bCs w:val="0"/>
          <w:sz w:val="32"/>
          <w:szCs w:val="40"/>
          <w:lang w:val="en-US" w:eastAsia="zh-CN"/>
        </w:rPr>
        <w:t>区税务局、城郊四镇、各</w:t>
      </w:r>
      <w:r>
        <w:rPr>
          <w:rFonts w:hint="eastAsia" w:ascii="国标仿宋-GB/T 2312" w:hAnsi="国标仿宋-GB/T 2312" w:eastAsia="国标仿宋-GB/T 2312" w:cs="国标仿宋-GB/T 2312"/>
          <w:sz w:val="32"/>
          <w:szCs w:val="40"/>
          <w:lang w:val="en-US" w:eastAsia="zh-CN"/>
        </w:rPr>
        <w:t>街道办事处和滨河新区社区服务中心于2026年11月30日前，将征缴工作进展、收缴金额、存在问题形成书面材料报送区财政局备案；</w:t>
      </w:r>
    </w:p>
    <w:p w14:paraId="4791F478">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国标仿宋-GB/T 2312" w:hAnsi="国标仿宋-GB/T 2312" w:eastAsia="国标仿宋-GB/T 2312" w:cs="国标仿宋-GB/T 2312"/>
          <w:sz w:val="32"/>
          <w:szCs w:val="40"/>
          <w:lang w:val="en-US" w:eastAsia="zh-CN"/>
        </w:rPr>
      </w:pPr>
      <w:r>
        <w:rPr>
          <w:rFonts w:hint="eastAsia" w:ascii="国标仿宋-GB/T 2312" w:hAnsi="国标仿宋-GB/T 2312" w:eastAsia="国标仿宋-GB/T 2312" w:cs="国标仿宋-GB/T 2312"/>
          <w:b/>
          <w:bCs/>
          <w:sz w:val="32"/>
          <w:szCs w:val="40"/>
          <w:lang w:val="en-US" w:eastAsia="zh-CN"/>
        </w:rPr>
        <w:t>3.收尾清缴阶段：</w:t>
      </w:r>
      <w:r>
        <w:rPr>
          <w:rFonts w:hint="eastAsia" w:ascii="国标仿宋-GB/T 2312" w:hAnsi="国标仿宋-GB/T 2312" w:eastAsia="国标仿宋-GB/T 2312" w:cs="国标仿宋-GB/T 2312"/>
          <w:sz w:val="32"/>
          <w:szCs w:val="40"/>
          <w:lang w:val="en-US" w:eastAsia="zh-CN"/>
        </w:rPr>
        <w:t>2026年12月31日前，完成全部生活垃圾处理费收缴、全额入库工作。</w:t>
      </w:r>
    </w:p>
    <w:p w14:paraId="576E2D9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国标黑体" w:hAnsi="国标黑体" w:eastAsia="国标黑体" w:cs="国标黑体"/>
          <w:sz w:val="32"/>
          <w:szCs w:val="40"/>
          <w:lang w:val="en-US" w:eastAsia="zh-CN"/>
        </w:rPr>
      </w:pPr>
      <w:r>
        <w:rPr>
          <w:rFonts w:hint="eastAsia" w:ascii="国标黑体" w:hAnsi="国标黑体" w:eastAsia="国标黑体" w:cs="国标黑体"/>
          <w:sz w:val="32"/>
          <w:szCs w:val="40"/>
          <w:lang w:val="en-US" w:eastAsia="zh-CN"/>
        </w:rPr>
        <w:t>八、重点工作保障措施</w:t>
      </w:r>
    </w:p>
    <w:p w14:paraId="5C5B17F9">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default" w:ascii="国标仿宋-GB/T 2312" w:hAnsi="国标仿宋-GB/T 2312" w:eastAsia="国标仿宋-GB/T 2312" w:cs="国标仿宋-GB/T 2312"/>
          <w:sz w:val="32"/>
          <w:szCs w:val="40"/>
          <w:lang w:val="en-US" w:eastAsia="zh-CN"/>
        </w:rPr>
      </w:pPr>
      <w:r>
        <w:rPr>
          <w:rFonts w:hint="eastAsia" w:ascii="国标楷体-GB/T 2312" w:hAnsi="国标楷体-GB/T 2312" w:eastAsia="国标楷体-GB/T 2312" w:cs="国标楷体-GB/T 2312"/>
          <w:b/>
          <w:bCs/>
          <w:sz w:val="32"/>
          <w:szCs w:val="40"/>
          <w:lang w:val="en-US" w:eastAsia="zh-CN"/>
        </w:rPr>
        <w:t>（一）压实层级工作责任。</w:t>
      </w:r>
      <w:r>
        <w:rPr>
          <w:rFonts w:hint="default" w:ascii="国标仿宋-GB/T 2312" w:hAnsi="国标仿宋-GB/T 2312" w:eastAsia="国标仿宋-GB/T 2312" w:cs="国标仿宋-GB/T 2312"/>
          <w:sz w:val="32"/>
          <w:szCs w:val="40"/>
          <w:lang w:val="en-US" w:eastAsia="zh-CN"/>
        </w:rPr>
        <w:t>生活垃圾处理费征收是保障环卫常态化运行、持续改善城市人居环境的基础性民生工作。各单位要切实强化组织领导，明确分管领导、专职经办人员，主动对接税务、属地乡镇（街道），全力配合基数核查、费用催收，做到不漏一户、不漏一企，确保实现应收尽收。</w:t>
      </w:r>
    </w:p>
    <w:p w14:paraId="612A4491">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eastAsia" w:ascii="国标仿宋-GB/T 2312" w:hAnsi="国标仿宋-GB/T 2312" w:eastAsia="国标仿宋-GB/T 2312" w:cs="国标仿宋-GB/T 2312"/>
          <w:sz w:val="32"/>
          <w:szCs w:val="40"/>
          <w:lang w:val="en-US" w:eastAsia="zh-CN"/>
        </w:rPr>
      </w:pPr>
      <w:r>
        <w:rPr>
          <w:rFonts w:hint="eastAsia" w:ascii="国标楷体-GB/T 2312" w:hAnsi="国标楷体-GB/T 2312" w:eastAsia="国标楷体-GB/T 2312" w:cs="国标楷体-GB/T 2312"/>
          <w:b/>
          <w:bCs/>
          <w:sz w:val="32"/>
          <w:szCs w:val="40"/>
          <w:lang w:val="en-US" w:eastAsia="zh-CN"/>
        </w:rPr>
        <w:t>（二）强化跨部门协同联动。</w:t>
      </w:r>
      <w:r>
        <w:rPr>
          <w:rFonts w:hint="default" w:ascii="国标仿宋-GB/T 2312" w:hAnsi="国标仿宋-GB/T 2312" w:eastAsia="国标仿宋-GB/T 2312" w:cs="国标仿宋-GB/T 2312"/>
          <w:sz w:val="32"/>
          <w:szCs w:val="40"/>
          <w:lang w:val="en-US" w:eastAsia="zh-CN"/>
        </w:rPr>
        <w:t>该项工作覆盖范围广，涉及经营主体、群众数量多，政策专业性较强。各基数核定单位</w:t>
      </w:r>
      <w:r>
        <w:rPr>
          <w:rFonts w:hint="eastAsia" w:ascii="国标仿宋-GB/T 2312" w:hAnsi="国标仿宋-GB/T 2312" w:eastAsia="国标仿宋-GB/T 2312" w:cs="国标仿宋-GB/T 2312"/>
          <w:sz w:val="32"/>
          <w:szCs w:val="40"/>
          <w:lang w:val="en-US" w:eastAsia="zh-CN"/>
        </w:rPr>
        <w:t>要</w:t>
      </w:r>
      <w:r>
        <w:rPr>
          <w:rFonts w:hint="default" w:ascii="国标仿宋-GB/T 2312" w:hAnsi="国标仿宋-GB/T 2312" w:eastAsia="国标仿宋-GB/T 2312" w:cs="国标仿宋-GB/T 2312"/>
          <w:sz w:val="32"/>
          <w:szCs w:val="40"/>
          <w:lang w:val="en-US" w:eastAsia="zh-CN"/>
        </w:rPr>
        <w:t>建立常态化沟通对接机制，共享基础信息，及时化解征缴过程中的群众诉求、矛盾纠纷，严格依照政策标准平稳有序推进征缴工作，坚决杜绝乱收费、重复核算等问题。对拒不履行法定缴费义务的经营主体和个人，除依法采取强制措施外，按规定纳入失信名单实施联合惩戒。</w:t>
      </w:r>
    </w:p>
    <w:p w14:paraId="13ADF90E">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default" w:ascii="国标仿宋-GB/T 2312" w:hAnsi="国标仿宋-GB/T 2312" w:eastAsia="国标仿宋-GB/T 2312" w:cs="国标仿宋-GB/T 2312"/>
          <w:sz w:val="32"/>
          <w:szCs w:val="40"/>
          <w:lang w:val="en-US" w:eastAsia="zh-CN"/>
        </w:rPr>
      </w:pPr>
      <w:r>
        <w:rPr>
          <w:rFonts w:hint="eastAsia" w:ascii="国标楷体-GB/T 2312" w:hAnsi="国标楷体-GB/T 2312" w:eastAsia="国标楷体-GB/T 2312" w:cs="国标楷体-GB/T 2312"/>
          <w:b/>
          <w:bCs/>
          <w:sz w:val="32"/>
          <w:szCs w:val="40"/>
          <w:lang w:val="en-US" w:eastAsia="zh-CN"/>
        </w:rPr>
        <w:t>（三）全方位开展宣传引导。</w:t>
      </w:r>
      <w:r>
        <w:rPr>
          <w:rFonts w:hint="default" w:ascii="国标仿宋-GB/T 2312" w:hAnsi="国标仿宋-GB/T 2312" w:eastAsia="国标仿宋-GB/T 2312" w:cs="国标仿宋-GB/T 2312"/>
          <w:sz w:val="32"/>
          <w:szCs w:val="40"/>
          <w:lang w:val="en-US" w:eastAsia="zh-CN"/>
        </w:rPr>
        <w:t>统筹电视、广播、报刊等传统宣传渠道与微信公众号、短视频、居民社群等新媒体平台，分层分类开展政策解读。面向机关单位、经营商户、辖区居民精准宣讲收费标准、缴费渠道、逾期惩戒规定，不断提升各类缴费主体主动缴费、自觉缴费意识，营造依法缴费、共同支持城市环卫治理的良好社会氛围。</w:t>
      </w:r>
    </w:p>
    <w:p w14:paraId="7FE8A496">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snapToGrid w:val="0"/>
          <w:color w:val="000000"/>
          <w:kern w:val="0"/>
          <w:sz w:val="32"/>
          <w:szCs w:val="32"/>
          <w:lang w:val="en-US" w:eastAsia="zh-CN"/>
        </w:rPr>
      </w:pPr>
      <w:r>
        <w:rPr>
          <w:rFonts w:hint="eastAsia" w:ascii="仿宋_GB2312" w:hAnsi="仿宋_GB2312" w:eastAsia="仿宋_GB2312" w:cs="仿宋_GB2312"/>
          <w:snapToGrid w:val="0"/>
          <w:color w:val="000000"/>
          <w:kern w:val="0"/>
          <w:sz w:val="32"/>
          <w:szCs w:val="32"/>
          <w:lang w:val="en-US" w:eastAsia="zh-CN"/>
        </w:rPr>
        <w:t>特此通知。</w:t>
      </w:r>
    </w:p>
    <w:p w14:paraId="12EAD406">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snapToGrid w:val="0"/>
          <w:color w:val="000000"/>
          <w:kern w:val="0"/>
          <w:sz w:val="32"/>
          <w:szCs w:val="32"/>
          <w:lang w:val="en-US" w:eastAsia="zh-CN"/>
        </w:rPr>
      </w:pPr>
      <w:r>
        <w:rPr>
          <w:rFonts w:hint="eastAsia" w:ascii="仿宋_GB2312" w:hAnsi="仿宋_GB2312" w:eastAsia="仿宋_GB2312" w:cs="仿宋_GB2312"/>
          <w:snapToGrid w:val="0"/>
          <w:color w:val="000000"/>
          <w:kern w:val="0"/>
          <w:sz w:val="32"/>
          <w:szCs w:val="32"/>
          <w:lang w:val="en-US" w:eastAsia="zh-CN"/>
        </w:rPr>
        <w:t>附件1：2026年度甘州区城区生活垃圾处理费统计数据表</w:t>
      </w:r>
    </w:p>
    <w:p w14:paraId="242DC9C6">
      <w:pPr>
        <w:pStyle w:val="2"/>
        <w:rPr>
          <w:rFonts w:hint="eastAsia" w:ascii="仿宋_GB2312" w:hAnsi="仿宋_GB2312" w:eastAsia="仿宋_GB2312" w:cs="仿宋_GB2312"/>
          <w:snapToGrid w:val="0"/>
          <w:color w:val="000000"/>
          <w:kern w:val="0"/>
          <w:sz w:val="32"/>
          <w:szCs w:val="32"/>
          <w:lang w:val="en-US" w:eastAsia="zh-CN"/>
        </w:rPr>
      </w:pPr>
    </w:p>
    <w:p w14:paraId="2C3515DE">
      <w:pPr>
        <w:rPr>
          <w:rFonts w:hint="eastAsia" w:ascii="仿宋_GB2312" w:hAnsi="仿宋_GB2312" w:eastAsia="仿宋_GB2312" w:cs="仿宋_GB2312"/>
          <w:snapToGrid w:val="0"/>
          <w:color w:val="000000"/>
          <w:kern w:val="0"/>
          <w:sz w:val="32"/>
          <w:szCs w:val="32"/>
          <w:lang w:val="en-US" w:eastAsia="zh-CN"/>
        </w:rPr>
      </w:pPr>
    </w:p>
    <w:p w14:paraId="0E451614">
      <w:pPr>
        <w:pStyle w:val="2"/>
        <w:rPr>
          <w:rFonts w:hint="eastAsia" w:ascii="仿宋_GB2312" w:hAnsi="仿宋_GB2312" w:eastAsia="仿宋_GB2312" w:cs="仿宋_GB2312"/>
          <w:snapToGrid w:val="0"/>
          <w:color w:val="000000"/>
          <w:kern w:val="0"/>
          <w:sz w:val="32"/>
          <w:szCs w:val="32"/>
          <w:lang w:val="en-US" w:eastAsia="zh-CN"/>
        </w:rPr>
      </w:pPr>
    </w:p>
    <w:p w14:paraId="312FD19F">
      <w:pPr>
        <w:pStyle w:val="2"/>
        <w:ind w:left="0" w:leftChars="0" w:firstLine="0" w:firstLineChars="0"/>
        <w:rPr>
          <w:rFonts w:hint="eastAsia"/>
          <w:lang w:val="en-US" w:eastAsia="zh-CN"/>
        </w:rPr>
      </w:pPr>
    </w:p>
    <w:p w14:paraId="26BA3C11">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snapToGrid w:val="0"/>
          <w:color w:val="000000"/>
          <w:kern w:val="0"/>
          <w:sz w:val="32"/>
          <w:szCs w:val="32"/>
          <w:lang w:val="en-US" w:eastAsia="zh-CN"/>
        </w:rPr>
      </w:pPr>
      <w:r>
        <w:rPr>
          <w:rFonts w:hint="eastAsia" w:ascii="仿宋_GB2312" w:hAnsi="仿宋_GB2312" w:eastAsia="仿宋_GB2312" w:cs="仿宋_GB2312"/>
          <w:snapToGrid w:val="0"/>
          <w:color w:val="000000"/>
          <w:kern w:val="0"/>
          <w:sz w:val="32"/>
          <w:szCs w:val="32"/>
          <w:lang w:val="en-US" w:eastAsia="zh-CN"/>
        </w:rPr>
        <w:t xml:space="preserve">                          甘州区人民政府办公室</w:t>
      </w:r>
      <w:r>
        <w:rPr>
          <w:rFonts w:hint="eastAsia" w:ascii="仿宋_GB2312" w:hAnsi="仿宋_GB2312" w:eastAsia="仿宋_GB2312" w:cs="仿宋_GB2312"/>
          <w:snapToGrid w:val="0"/>
          <w:color w:val="000000"/>
          <w:kern w:val="0"/>
          <w:sz w:val="32"/>
          <w:szCs w:val="32"/>
          <w:lang w:val="en-US" w:eastAsia="zh-CN"/>
        </w:rPr>
        <w:t xml:space="preserve">                                 </w:t>
      </w:r>
    </w:p>
    <w:p w14:paraId="40E34221">
      <w:pPr>
        <w:keepNext w:val="0"/>
        <w:keepLines w:val="0"/>
        <w:pageBreakBefore w:val="0"/>
        <w:widowControl w:val="0"/>
        <w:kinsoku/>
        <w:wordWrap/>
        <w:overflowPunct/>
        <w:topLinePunct w:val="0"/>
        <w:autoSpaceDE/>
        <w:autoSpaceDN/>
        <w:bidi w:val="0"/>
        <w:adjustRightInd/>
        <w:snapToGrid/>
        <w:spacing w:line="540" w:lineRule="exact"/>
        <w:ind w:firstLine="5120" w:firstLineChars="1600"/>
        <w:jc w:val="both"/>
        <w:textAlignment w:val="auto"/>
        <w:rPr>
          <w:rFonts w:hint="eastAsia" w:ascii="仿宋_GB2312" w:hAnsi="仿宋_GB2312" w:eastAsia="仿宋_GB2312" w:cs="仿宋_GB2312"/>
          <w:snapToGrid w:val="0"/>
          <w:color w:val="000000"/>
          <w:kern w:val="0"/>
          <w:sz w:val="32"/>
          <w:szCs w:val="32"/>
          <w:lang w:val="en-US" w:eastAsia="zh-CN"/>
        </w:rPr>
      </w:pPr>
      <w:r>
        <w:rPr>
          <w:rFonts w:hint="eastAsia" w:ascii="仿宋_GB2312" w:hAnsi="仿宋_GB2312" w:eastAsia="仿宋_GB2312" w:cs="仿宋_GB2312"/>
          <w:snapToGrid w:val="0"/>
          <w:color w:val="000000"/>
          <w:kern w:val="0"/>
          <w:sz w:val="32"/>
          <w:szCs w:val="32"/>
          <w:lang w:val="en-US" w:eastAsia="zh-CN"/>
        </w:rPr>
        <w:t>2026年8月11日</w:t>
      </w:r>
    </w:p>
    <w:p w14:paraId="59A8E1AC">
      <w:pPr>
        <w:pStyle w:val="2"/>
        <w:rPr>
          <w:rFonts w:hint="default"/>
          <w:lang w:val="en-US" w:eastAsia="zh-CN"/>
        </w:rPr>
      </w:pPr>
    </w:p>
    <w:p w14:paraId="5E491E0A">
      <w:pPr>
        <w:keepNext w:val="0"/>
        <w:keepLines w:val="0"/>
        <w:pageBreakBefore w:val="0"/>
        <w:widowControl w:val="0"/>
        <w:kinsoku/>
        <w:wordWrap/>
        <w:overflowPunct/>
        <w:topLinePunct w:val="0"/>
        <w:autoSpaceDE/>
        <w:autoSpaceDN/>
        <w:bidi w:val="0"/>
        <w:adjustRightInd/>
        <w:snapToGrid/>
        <w:spacing w:line="540" w:lineRule="exact"/>
        <w:ind w:firstLine="0" w:firstLineChars="0"/>
        <w:jc w:val="both"/>
        <w:textAlignment w:val="auto"/>
        <w:rPr>
          <w:rFonts w:hint="eastAsia" w:ascii="仿宋_GB2312" w:hAnsi="仿宋_GB2312" w:eastAsia="仿宋_GB2312" w:cs="仿宋_GB2312"/>
          <w:snapToGrid w:val="0"/>
          <w:color w:val="000000"/>
          <w:kern w:val="0"/>
          <w:sz w:val="32"/>
          <w:szCs w:val="32"/>
          <w:lang w:val="en-US" w:eastAsia="zh-CN"/>
        </w:rPr>
      </w:pPr>
    </w:p>
    <w:p w14:paraId="56F13D17">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国标仿宋-GB/T 2312" w:hAnsi="国标仿宋-GB/T 2312" w:eastAsia="国标仿宋-GB/T 2312" w:cs="国标仿宋-GB/T 2312"/>
          <w:sz w:val="32"/>
          <w:szCs w:val="40"/>
          <w:lang w:val="en-US" w:eastAsia="zh-CN"/>
        </w:rPr>
      </w:pPr>
      <w:r>
        <w:rPr>
          <w:rFonts w:hint="eastAsia" w:ascii="国标仿宋-GB/T 2312" w:hAnsi="国标仿宋-GB/T 2312" w:eastAsia="国标仿宋-GB/T 2312" w:cs="国标仿宋-GB/T 2312"/>
          <w:sz w:val="32"/>
          <w:szCs w:val="40"/>
          <w:lang w:val="en-US" w:eastAsia="zh-CN"/>
        </w:rPr>
        <w:t xml:space="preserve">                      </w:t>
      </w:r>
      <w:bookmarkStart w:id="0" w:name="_GoBack"/>
      <w:bookmarkEnd w:id="0"/>
      <w:r>
        <w:rPr>
          <w:rFonts w:hint="eastAsia" w:ascii="国标仿宋-GB/T 2312" w:hAnsi="国标仿宋-GB/T 2312" w:eastAsia="国标仿宋-GB/T 2312" w:cs="国标仿宋-GB/T 2312"/>
          <w:sz w:val="32"/>
          <w:szCs w:val="40"/>
          <w:lang w:val="en-US" w:eastAsia="zh-CN"/>
        </w:rPr>
        <w:t xml:space="preserve">                      </w:t>
      </w:r>
    </w:p>
    <w:sectPr>
      <w:footerReference r:id="rId3" w:type="default"/>
      <w:pgSz w:w="11906" w:h="16838"/>
      <w:pgMar w:top="2098" w:right="1474" w:bottom="1984" w:left="1587" w:header="1134" w:footer="1304"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国标仿宋-GB/T 2312">
    <w:altName w:val="仿宋"/>
    <w:panose1 w:val="02000500000000000000"/>
    <w:charset w:val="86"/>
    <w:family w:val="auto"/>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国标黑体">
    <w:altName w:val="黑体"/>
    <w:panose1 w:val="02000500000000000000"/>
    <w:charset w:val="86"/>
    <w:family w:val="auto"/>
    <w:pitch w:val="default"/>
    <w:sig w:usb0="00000000" w:usb1="00000000" w:usb2="00000000" w:usb3="00000000" w:csb0="00040000" w:csb1="00000000"/>
  </w:font>
  <w:font w:name="国标楷体-GB/T 2312">
    <w:altName w:val="楷体_GB2312"/>
    <w:panose1 w:val="02000500000000000000"/>
    <w:charset w:val="86"/>
    <w:family w:val="auto"/>
    <w:pitch w:val="default"/>
    <w:sig w:usb0="00000000" w:usb1="0000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KSOF6BE7A20B">
    <w:panose1 w:val="02010609060101010101"/>
    <w:charset w:val="86"/>
    <w:family w:val="auto"/>
    <w:pitch w:val="default"/>
    <w:sig w:usb0="00000001" w:usb1="00000000" w:usb2="00000000" w:usb3="00000000" w:csb0="00040001" w:csb1="00000000"/>
  </w:font>
  <w:font w:name="KSOF6BE8166A">
    <w:panose1 w:val="02010609060101010101"/>
    <w:charset w:val="86"/>
    <w:family w:val="auto"/>
    <w:pitch w:val="default"/>
    <w:sig w:usb0="00000001" w:usb1="00000000" w:usb2="00000000"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14E14A">
    <w:pPr>
      <w:pStyle w:val="5"/>
    </w:pPr>
    <w:r>
      <w:rPr>
        <w:sz w:val="18"/>
      </w:rPr>
      <mc:AlternateContent>
        <mc:Choice Requires="wps">
          <w:drawing>
            <wp:anchor distT="0" distB="0" distL="114300" distR="114300" simplePos="0" relativeHeight="251659264" behindDoc="0" locked="0" layoutInCell="1" allowOverlap="1">
              <wp:simplePos x="0" y="0"/>
              <wp:positionH relativeFrom="margin">
                <wp:posOffset>5293995</wp:posOffset>
              </wp:positionH>
              <wp:positionV relativeFrom="paragraph">
                <wp:posOffset>-123190</wp:posOffset>
              </wp:positionV>
              <wp:extent cx="1828800" cy="26924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26924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CEC6626">
                          <w:pPr>
                            <w:pStyle w:val="5"/>
                          </w:pPr>
                          <w:r>
                            <w:t xml:space="preserve">—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r>
                            <w:rPr>
                              <w:rFonts w:hint="default" w:ascii="Times New Roman" w:hAnsi="Times New Roman" w:cs="Times New Roman"/>
                              <w:sz w:val="24"/>
                              <w:szCs w:val="24"/>
                            </w:rPr>
                            <w:t xml:space="preserve"> </w:t>
                          </w:r>
                          <w:r>
                            <w:t>—</w:t>
                          </w:r>
                        </w:p>
                      </w:txbxContent>
                    </wps:txbx>
                    <wps:bodyPr rot="0" spcFirstLastPara="0" vertOverflow="overflow" horzOverflow="overflow" vert="horz" wrap="non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416.85pt;margin-top:-9.7pt;height:21.2pt;width:144pt;mso-position-horizontal-relative:margin;mso-wrap-style:none;z-index:251659264;mso-width-relative:page;mso-height-relative:page;" filled="f" stroked="f" coordsize="21600,21600" o:gfxdata="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Iciq0zaAAAACwEAAA8AAAAAAAAAAQAgAAAAIgAAAGRycy9kb3ducmV2&#10;LnhtbFBLAQIUABQAAAAIAIdO4kDMKNOCMwIAAGAEAAAOAAAAAAAAAAEAIAAAACkBAABkcnMvZTJv&#10;RG9jLnhtbFBLBQYAAAAABgAGAFkBAADOBQAAAAA=&#10;">
              <v:fill on="f" focussize="0,0"/>
              <v:stroke on="f" weight="0.5pt"/>
              <v:imagedata o:title=""/>
              <o:lock v:ext="edit" aspectratio="f"/>
              <v:textbox inset="0mm,0mm,0mm,0mm">
                <w:txbxContent>
                  <w:p w14:paraId="2CEC6626">
                    <w:pPr>
                      <w:pStyle w:val="5"/>
                    </w:pPr>
                    <w:r>
                      <w:t xml:space="preserve">—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r>
                      <w:rPr>
                        <w:rFonts w:hint="default" w:ascii="Times New Roman" w:hAnsi="Times New Roman" w:cs="Times New Roman"/>
                        <w:sz w:val="24"/>
                        <w:szCs w:val="24"/>
                      </w:rPr>
                      <w:t xml:space="preserve"> </w:t>
                    </w:r>
                    <w:r>
                      <w:t>—</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gwM2U4MmYwYTZiY2VkOGNiYWM0ZTRkYzFiMmNiNjUifQ=="/>
  </w:docVars>
  <w:rsids>
    <w:rsidRoot w:val="229E638D"/>
    <w:rsid w:val="01B95887"/>
    <w:rsid w:val="026D3223"/>
    <w:rsid w:val="04BD7D66"/>
    <w:rsid w:val="05945F5E"/>
    <w:rsid w:val="05FD666C"/>
    <w:rsid w:val="0633208D"/>
    <w:rsid w:val="064A70AE"/>
    <w:rsid w:val="065E40D0"/>
    <w:rsid w:val="095962AF"/>
    <w:rsid w:val="0A037FC9"/>
    <w:rsid w:val="0A222B45"/>
    <w:rsid w:val="0A8A08FC"/>
    <w:rsid w:val="0AD16319"/>
    <w:rsid w:val="0BFC6504"/>
    <w:rsid w:val="0C342A69"/>
    <w:rsid w:val="0C873133"/>
    <w:rsid w:val="0D6D057B"/>
    <w:rsid w:val="0DAB2E51"/>
    <w:rsid w:val="0E72571D"/>
    <w:rsid w:val="0F0767AD"/>
    <w:rsid w:val="0FDE750E"/>
    <w:rsid w:val="107C6D27"/>
    <w:rsid w:val="11E22BBA"/>
    <w:rsid w:val="132331DF"/>
    <w:rsid w:val="13E23345"/>
    <w:rsid w:val="13E7C16E"/>
    <w:rsid w:val="14B60A59"/>
    <w:rsid w:val="154858E4"/>
    <w:rsid w:val="157E0E4B"/>
    <w:rsid w:val="15D5522C"/>
    <w:rsid w:val="15E50ECA"/>
    <w:rsid w:val="161F43DC"/>
    <w:rsid w:val="163661A5"/>
    <w:rsid w:val="17FA29BA"/>
    <w:rsid w:val="18F465E3"/>
    <w:rsid w:val="1A1376B3"/>
    <w:rsid w:val="1A807414"/>
    <w:rsid w:val="1BD96DDB"/>
    <w:rsid w:val="1BF7202A"/>
    <w:rsid w:val="1CFD4D4B"/>
    <w:rsid w:val="1D1075D0"/>
    <w:rsid w:val="1D2B73AA"/>
    <w:rsid w:val="1E8079E2"/>
    <w:rsid w:val="202D3B9A"/>
    <w:rsid w:val="220B6B7B"/>
    <w:rsid w:val="229E638D"/>
    <w:rsid w:val="232F34E8"/>
    <w:rsid w:val="237422B9"/>
    <w:rsid w:val="251470D6"/>
    <w:rsid w:val="25732332"/>
    <w:rsid w:val="26026F78"/>
    <w:rsid w:val="267E514F"/>
    <w:rsid w:val="28D86B0C"/>
    <w:rsid w:val="28F95176"/>
    <w:rsid w:val="28F951A2"/>
    <w:rsid w:val="29E7300B"/>
    <w:rsid w:val="2A7F3244"/>
    <w:rsid w:val="2AB078A1"/>
    <w:rsid w:val="2C0F42FA"/>
    <w:rsid w:val="2CBC0949"/>
    <w:rsid w:val="2E4B1DBB"/>
    <w:rsid w:val="2F012479"/>
    <w:rsid w:val="2FED1556"/>
    <w:rsid w:val="31101099"/>
    <w:rsid w:val="336B29E2"/>
    <w:rsid w:val="338B4A07"/>
    <w:rsid w:val="34505F6A"/>
    <w:rsid w:val="3596680E"/>
    <w:rsid w:val="35FF348B"/>
    <w:rsid w:val="362F5B1E"/>
    <w:rsid w:val="365A3BB6"/>
    <w:rsid w:val="36F80606"/>
    <w:rsid w:val="37391D72"/>
    <w:rsid w:val="3797732F"/>
    <w:rsid w:val="38451629"/>
    <w:rsid w:val="39D54C2E"/>
    <w:rsid w:val="3B767C69"/>
    <w:rsid w:val="3CA134EE"/>
    <w:rsid w:val="3CF950D8"/>
    <w:rsid w:val="3D31661F"/>
    <w:rsid w:val="3E530817"/>
    <w:rsid w:val="3E974BA8"/>
    <w:rsid w:val="3FDC1081"/>
    <w:rsid w:val="413D1A37"/>
    <w:rsid w:val="415154E2"/>
    <w:rsid w:val="41BF3FF3"/>
    <w:rsid w:val="41E75040"/>
    <w:rsid w:val="423E0E7B"/>
    <w:rsid w:val="42A67168"/>
    <w:rsid w:val="42DB32AD"/>
    <w:rsid w:val="435B2648"/>
    <w:rsid w:val="46D70238"/>
    <w:rsid w:val="471A45C8"/>
    <w:rsid w:val="484318DA"/>
    <w:rsid w:val="49551C63"/>
    <w:rsid w:val="4AEFDA92"/>
    <w:rsid w:val="4CF51418"/>
    <w:rsid w:val="4D5C1497"/>
    <w:rsid w:val="4F7A0475"/>
    <w:rsid w:val="50245B70"/>
    <w:rsid w:val="50AC6291"/>
    <w:rsid w:val="50EA500B"/>
    <w:rsid w:val="520914C1"/>
    <w:rsid w:val="52141B32"/>
    <w:rsid w:val="527414FE"/>
    <w:rsid w:val="52A55C4E"/>
    <w:rsid w:val="53C27B7A"/>
    <w:rsid w:val="53CC2138"/>
    <w:rsid w:val="54D264E2"/>
    <w:rsid w:val="54EF2BF0"/>
    <w:rsid w:val="564F2CB4"/>
    <w:rsid w:val="56763F0E"/>
    <w:rsid w:val="56D71977"/>
    <w:rsid w:val="56FB523E"/>
    <w:rsid w:val="57AD15AC"/>
    <w:rsid w:val="5A112174"/>
    <w:rsid w:val="5A1A11B9"/>
    <w:rsid w:val="5A4B32A5"/>
    <w:rsid w:val="5B791466"/>
    <w:rsid w:val="5BA34735"/>
    <w:rsid w:val="5C036F81"/>
    <w:rsid w:val="5C0B5EDD"/>
    <w:rsid w:val="5D192F00"/>
    <w:rsid w:val="5E413D91"/>
    <w:rsid w:val="5E421FE3"/>
    <w:rsid w:val="5FB32A6C"/>
    <w:rsid w:val="60664487"/>
    <w:rsid w:val="61221233"/>
    <w:rsid w:val="618611B2"/>
    <w:rsid w:val="62FD0BCE"/>
    <w:rsid w:val="64755141"/>
    <w:rsid w:val="65CB4FB4"/>
    <w:rsid w:val="65D06126"/>
    <w:rsid w:val="663436B6"/>
    <w:rsid w:val="668E00EB"/>
    <w:rsid w:val="67DA3030"/>
    <w:rsid w:val="67EA1CCD"/>
    <w:rsid w:val="67EA6816"/>
    <w:rsid w:val="68A04467"/>
    <w:rsid w:val="68CB3DA3"/>
    <w:rsid w:val="69CD5F85"/>
    <w:rsid w:val="6A220F1A"/>
    <w:rsid w:val="6AAF6C52"/>
    <w:rsid w:val="6C3E25F7"/>
    <w:rsid w:val="6CDF2779"/>
    <w:rsid w:val="6D3E5BFF"/>
    <w:rsid w:val="6DC87C44"/>
    <w:rsid w:val="6E09613F"/>
    <w:rsid w:val="6E992BB7"/>
    <w:rsid w:val="6F953F20"/>
    <w:rsid w:val="735F5E84"/>
    <w:rsid w:val="736A172E"/>
    <w:rsid w:val="7452568C"/>
    <w:rsid w:val="74C652C4"/>
    <w:rsid w:val="751B7222"/>
    <w:rsid w:val="7581743D"/>
    <w:rsid w:val="767B445E"/>
    <w:rsid w:val="770D7B40"/>
    <w:rsid w:val="771829CC"/>
    <w:rsid w:val="774C5829"/>
    <w:rsid w:val="77B92B7C"/>
    <w:rsid w:val="78EF290F"/>
    <w:rsid w:val="7A17211E"/>
    <w:rsid w:val="7A7F6B42"/>
    <w:rsid w:val="7AB345C2"/>
    <w:rsid w:val="7DDEE877"/>
    <w:rsid w:val="7FC2794A"/>
    <w:rsid w:val="7FF32CE5"/>
    <w:rsid w:val="B3DE7212"/>
    <w:rsid w:val="BDBF0FD2"/>
    <w:rsid w:val="DA777F3E"/>
    <w:rsid w:val="E413F082"/>
    <w:rsid w:val="EDDFC0B6"/>
    <w:rsid w:val="F3A2D883"/>
    <w:rsid w:val="F638800E"/>
    <w:rsid w:val="F7DA943B"/>
    <w:rsid w:val="FDEEF45C"/>
    <w:rsid w:val="FFEF7424"/>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Normal Indent"/>
    <w:basedOn w:val="1"/>
    <w:next w:val="1"/>
    <w:qFormat/>
    <w:uiPriority w:val="0"/>
    <w:pPr>
      <w:ind w:firstLine="420"/>
    </w:pPr>
    <w:rPr>
      <w:rFonts w:cs="Times New Roman"/>
    </w:rPr>
  </w:style>
  <w:style w:type="paragraph" w:styleId="3">
    <w:name w:val="annotation text"/>
    <w:basedOn w:val="1"/>
    <w:qFormat/>
    <w:uiPriority w:val="0"/>
    <w:pPr>
      <w:jc w:val="left"/>
    </w:pPr>
  </w:style>
  <w:style w:type="paragraph" w:styleId="4">
    <w:name w:val="Body Text"/>
    <w:basedOn w:val="1"/>
    <w:next w:val="5"/>
    <w:qFormat/>
    <w:uiPriority w:val="0"/>
    <w:pPr>
      <w:spacing w:after="120"/>
    </w:pPr>
  </w:style>
  <w:style w:type="paragraph" w:styleId="5">
    <w:name w:val="footer"/>
    <w:basedOn w:val="1"/>
    <w:unhideWhenUsed/>
    <w:qFormat/>
    <w:uiPriority w:val="99"/>
    <w:pPr>
      <w:tabs>
        <w:tab w:val="center" w:pos="4153"/>
        <w:tab w:val="right" w:pos="8306"/>
      </w:tabs>
    </w:pPr>
    <w:rPr>
      <w:sz w:val="18"/>
      <w:szCs w:val="18"/>
    </w:rPr>
  </w:style>
  <w:style w:type="paragraph" w:styleId="6">
    <w:name w:val="Body Text Indent 2"/>
    <w:basedOn w:val="1"/>
    <w:next w:val="4"/>
    <w:qFormat/>
    <w:uiPriority w:val="0"/>
    <w:pPr>
      <w:spacing w:after="120" w:line="480" w:lineRule="auto"/>
      <w:ind w:left="420" w:leftChars="200"/>
    </w:pPr>
    <w:rPr>
      <w:rFonts w:eastAsia="宋体"/>
      <w:szCs w:val="20"/>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8</Pages>
  <Words>3791</Words>
  <Characters>3896</Characters>
  <Lines>0</Lines>
  <Paragraphs>0</Paragraphs>
  <TotalTime>0</TotalTime>
  <ScaleCrop>false</ScaleCrop>
  <LinksUpToDate>false</LinksUpToDate>
  <CharactersWithSpaces>3963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2024-11-08T11:21:00Z</dcterms:created>
  <dc:creator>周德栋</dc:creator>
  <cp:lastModifiedBy>招牌&amp;毒药</cp:lastModifiedBy>
  <cp:lastPrinted>2026-08-05T00:57:00Z</cp:lastPrinted>
  <dcterms:modified xsi:type="dcterms:W3CDTF">2026-08-11T01:36:58Z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30389F47C2486579EC403B6A8D29E738_43</vt:lpwstr>
  </property>
  <property fmtid="{D5CDD505-2E9C-101B-9397-08002B2CF9AE}" pid="4" name="KSOTemplateDocerSaveRecord">
    <vt:lpwstr>eyJoZGlkIjoiNjM2Mzg1YjRiMGJkYmQ1ZmFiYzdlYjM0ZjgwYjVkMGYiLCJ1c2VySWQiOiI1NTU5NzMxOTMifQ==</vt:lpwstr>
  </property>
</Properties>
</file>