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9D45A6">
      <w:pPr>
        <w:rPr>
          <w:rFonts w:ascii="宋体" w:hAnsi="宋体" w:eastAsia="宋体" w:cs="Arial"/>
          <w:snapToGrid w:val="0"/>
          <w:color w:val="000000"/>
          <w:kern w:val="0"/>
          <w:sz w:val="21"/>
          <w:szCs w:val="21"/>
          <w:lang w:val="en-US" w:eastAsia="en-US" w:bidi="ar-SA"/>
        </w:rPr>
      </w:pPr>
      <w:r>
        <w:rPr>
          <w:rFonts w:hint="eastAsia" w:ascii="宋体" w:hAnsi="宋体" w:eastAsia="宋体" w:cs="Arial"/>
          <w:snapToGrid w:val="0"/>
          <w:color w:val="000000"/>
          <w:kern w:val="0"/>
          <w:sz w:val="21"/>
          <w:szCs w:val="21"/>
          <w:lang w:val="en-US" w:eastAsia="zh-CN" w:bidi="ar-SA"/>
        </w:rPr>
        <w:drawing>
          <wp:anchor distT="0" distB="0" distL="114300" distR="114300" simplePos="0" relativeHeight="251670528" behindDoc="1" locked="0" layoutInCell="1" allowOverlap="1">
            <wp:simplePos x="0" y="0"/>
            <wp:positionH relativeFrom="column">
              <wp:posOffset>-933450</wp:posOffset>
            </wp:positionH>
            <wp:positionV relativeFrom="paragraph">
              <wp:posOffset>-1144270</wp:posOffset>
            </wp:positionV>
            <wp:extent cx="15154910" cy="10716895"/>
            <wp:effectExtent l="0" t="0" r="8890" b="8255"/>
            <wp:wrapNone/>
            <wp:docPr id="1" name="图片 1" descr="新版封面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新版封面2"/>
                    <pic:cNvPicPr>
                      <a:picLocks noChangeAspect="1"/>
                    </pic:cNvPicPr>
                  </pic:nvPicPr>
                  <pic:blipFill>
                    <a:blip r:embed="rId22"/>
                    <a:stretch>
                      <a:fillRect/>
                    </a:stretch>
                  </pic:blipFill>
                  <pic:spPr>
                    <a:xfrm>
                      <a:off x="0" y="0"/>
                      <a:ext cx="15154910" cy="10716895"/>
                    </a:xfrm>
                    <a:prstGeom prst="rect">
                      <a:avLst/>
                    </a:prstGeom>
                  </pic:spPr>
                </pic:pic>
              </a:graphicData>
            </a:graphic>
          </wp:anchor>
        </w:drawing>
      </w:r>
    </w:p>
    <w:p w14:paraId="37133D7D">
      <w:pPr>
        <w:spacing w:before="0" w:beforeLines="0" w:after="0" w:afterLines="0" w:line="240" w:lineRule="auto"/>
        <w:ind w:left="0" w:leftChars="0" w:right="0" w:rightChars="0" w:firstLine="0" w:firstLineChars="0"/>
        <w:jc w:val="center"/>
        <w:rPr>
          <w:rFonts w:hint="eastAsia" w:ascii="宋体" w:hAnsi="宋体" w:eastAsia="宋体" w:cs="Arial"/>
          <w:snapToGrid w:val="0"/>
          <w:color w:val="000000"/>
          <w:kern w:val="0"/>
          <w:sz w:val="21"/>
          <w:szCs w:val="21"/>
          <w:lang w:val="en-US" w:eastAsia="zh-CN" w:bidi="ar-SA"/>
        </w:rPr>
        <w:sectPr>
          <w:pgSz w:w="23811" w:h="16838" w:orient="landscape"/>
          <w:pgMar w:top="1800" w:right="1440" w:bottom="1800" w:left="1440" w:header="851" w:footer="992" w:gutter="0"/>
          <w:pgNumType w:fmt="numberInDash"/>
          <w:cols w:space="2106" w:num="2"/>
          <w:docGrid w:type="lines" w:linePitch="312" w:charSpace="0"/>
        </w:sectPr>
      </w:pPr>
    </w:p>
    <w:p w14:paraId="4F4800A5">
      <w:pPr>
        <w:spacing w:before="0" w:beforeLines="0" w:after="0" w:afterLines="0" w:line="240" w:lineRule="auto"/>
        <w:ind w:left="0" w:leftChars="0" w:right="0" w:rightChars="0" w:firstLine="0" w:firstLineChars="0"/>
        <w:jc w:val="center"/>
        <w:rPr>
          <w:rFonts w:ascii="宋体" w:hAnsi="宋体" w:eastAsia="宋体" w:cs="Arial"/>
          <w:snapToGrid w:val="0"/>
          <w:color w:val="000000"/>
          <w:kern w:val="0"/>
          <w:sz w:val="21"/>
          <w:szCs w:val="21"/>
          <w:lang w:val="en-US" w:eastAsia="en-US" w:bidi="ar-SA"/>
        </w:rPr>
      </w:pPr>
    </w:p>
    <w:p w14:paraId="50FF91CC">
      <w:pPr>
        <w:spacing w:before="0" w:beforeLines="0" w:after="0" w:afterLines="0" w:line="240" w:lineRule="auto"/>
        <w:ind w:left="0" w:leftChars="0" w:right="0" w:rightChars="0" w:firstLine="0" w:firstLineChars="0"/>
        <w:jc w:val="center"/>
        <w:rPr>
          <w:rFonts w:ascii="宋体" w:hAnsi="宋体" w:eastAsia="宋体" w:cs="Arial"/>
          <w:snapToGrid w:val="0"/>
          <w:color w:val="000000"/>
          <w:kern w:val="0"/>
          <w:sz w:val="21"/>
          <w:szCs w:val="21"/>
          <w:lang w:val="en-US" w:eastAsia="en-US" w:bidi="ar-SA"/>
        </w:rPr>
      </w:pPr>
    </w:p>
    <w:sdt>
      <w:sdtPr>
        <w:rPr>
          <w:rFonts w:ascii="宋体" w:hAnsi="宋体" w:eastAsia="宋体" w:cs="Arial"/>
          <w:snapToGrid w:val="0"/>
          <w:color w:val="000000"/>
          <w:kern w:val="0"/>
          <w:sz w:val="24"/>
          <w:szCs w:val="24"/>
          <w:lang w:val="en-US" w:eastAsia="en-US" w:bidi="ar-SA"/>
        </w:rPr>
        <w:id w:val="147479151"/>
        <w15:color w:val="DBDBDB"/>
        <w:docPartObj>
          <w:docPartGallery w:val="Table of Contents"/>
          <w:docPartUnique/>
        </w:docPartObj>
      </w:sdtPr>
      <w:sdtEndPr>
        <w:rPr>
          <w:rFonts w:ascii="宋体" w:hAnsi="宋体" w:eastAsia="宋体" w:cs="Arial"/>
          <w:snapToGrid w:val="0"/>
          <w:color w:val="000000"/>
          <w:kern w:val="0"/>
          <w:sz w:val="22"/>
          <w:szCs w:val="22"/>
          <w:lang w:val="en-US" w:eastAsia="en-US" w:bidi="ar-SA"/>
        </w:rPr>
      </w:sdtEndPr>
      <w:sdtContent>
        <w:p w14:paraId="179FC670">
          <w:pPr>
            <w:keepNext w:val="0"/>
            <w:keepLines w:val="0"/>
            <w:pageBreakBefore w:val="0"/>
            <w:widowControl/>
            <w:kinsoku w:val="0"/>
            <w:wordWrap/>
            <w:overflowPunct/>
            <w:topLinePunct w:val="0"/>
            <w:autoSpaceDE w:val="0"/>
            <w:autoSpaceDN w:val="0"/>
            <w:bidi w:val="0"/>
            <w:adjustRightInd w:val="0"/>
            <w:snapToGrid w:val="0"/>
            <w:spacing w:before="0" w:beforeLines="0" w:after="0" w:afterLines="0" w:line="300" w:lineRule="exact"/>
            <w:ind w:left="0" w:leftChars="0" w:right="0" w:rightChars="0" w:firstLine="0" w:firstLineChars="0"/>
            <w:jc w:val="center"/>
            <w:textAlignment w:val="baseline"/>
            <w:rPr>
              <w:sz w:val="24"/>
              <w:szCs w:val="24"/>
            </w:rPr>
          </w:pPr>
          <w:r>
            <w:rPr>
              <w:rFonts w:ascii="宋体" w:hAnsi="宋体" w:eastAsia="宋体"/>
              <w:sz w:val="24"/>
              <w:szCs w:val="24"/>
            </w:rPr>
            <w:t>目录</w:t>
          </w:r>
        </w:p>
        <w:p w14:paraId="0D670A23">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TOC \o "1-2" \h \u </w:instrText>
          </w:r>
          <w:r>
            <w:rPr>
              <w:sz w:val="32"/>
              <w:szCs w:val="32"/>
            </w:rPr>
            <w:fldChar w:fldCharType="separate"/>
          </w:r>
          <w:r>
            <w:rPr>
              <w:sz w:val="32"/>
              <w:szCs w:val="32"/>
            </w:rPr>
            <w:fldChar w:fldCharType="begin"/>
          </w:r>
          <w:r>
            <w:rPr>
              <w:sz w:val="32"/>
              <w:szCs w:val="32"/>
            </w:rPr>
            <w:instrText xml:space="preserve"> HYPERLINK \l _Toc19463 </w:instrText>
          </w:r>
          <w:r>
            <w:rPr>
              <w:sz w:val="32"/>
              <w:szCs w:val="32"/>
            </w:rPr>
            <w:fldChar w:fldCharType="separate"/>
          </w:r>
          <w:r>
            <w:rPr>
              <w:rFonts w:hint="eastAsia" w:ascii="黑体" w:hAnsi="黑体" w:eastAsia="黑体" w:cs="黑体"/>
              <w:spacing w:val="7"/>
              <w:sz w:val="32"/>
              <w:szCs w:val="32"/>
              <w:lang w:val="en-US" w:eastAsia="zh-CN"/>
            </w:rPr>
            <w:t xml:space="preserve">第一章 </w:t>
          </w:r>
          <w:r>
            <w:rPr>
              <w:rFonts w:ascii="黑体" w:hAnsi="黑体" w:eastAsia="黑体" w:cs="黑体"/>
              <w:spacing w:val="7"/>
              <w:sz w:val="32"/>
              <w:szCs w:val="32"/>
            </w:rPr>
            <w:t>总则</w:t>
          </w:r>
          <w:r>
            <w:rPr>
              <w:sz w:val="32"/>
              <w:szCs w:val="32"/>
            </w:rPr>
            <w:tab/>
          </w:r>
          <w:r>
            <w:rPr>
              <w:sz w:val="32"/>
              <w:szCs w:val="32"/>
            </w:rPr>
            <w:fldChar w:fldCharType="begin"/>
          </w:r>
          <w:r>
            <w:rPr>
              <w:sz w:val="32"/>
              <w:szCs w:val="32"/>
            </w:rPr>
            <w:instrText xml:space="preserve"> PAGEREF _Toc19463 \h </w:instrText>
          </w:r>
          <w:r>
            <w:rPr>
              <w:sz w:val="32"/>
              <w:szCs w:val="32"/>
            </w:rPr>
            <w:fldChar w:fldCharType="separate"/>
          </w:r>
          <w:r>
            <w:rPr>
              <w:sz w:val="32"/>
              <w:szCs w:val="32"/>
            </w:rPr>
            <w:t>- 1 -</w:t>
          </w:r>
          <w:r>
            <w:rPr>
              <w:sz w:val="32"/>
              <w:szCs w:val="32"/>
            </w:rPr>
            <w:fldChar w:fldCharType="end"/>
          </w:r>
          <w:r>
            <w:rPr>
              <w:sz w:val="32"/>
              <w:szCs w:val="32"/>
            </w:rPr>
            <w:fldChar w:fldCharType="end"/>
          </w:r>
        </w:p>
        <w:p w14:paraId="60903FF1">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_Toc4265 </w:instrText>
          </w:r>
          <w:r>
            <w:rPr>
              <w:sz w:val="32"/>
              <w:szCs w:val="32"/>
            </w:rPr>
            <w:fldChar w:fldCharType="separate"/>
          </w:r>
          <w:r>
            <w:rPr>
              <w:rFonts w:hint="eastAsia" w:ascii="黑体" w:hAnsi="黑体" w:eastAsia="黑体" w:cs="黑体"/>
              <w:bCs w:val="0"/>
              <w:spacing w:val="2"/>
              <w:sz w:val="32"/>
              <w:szCs w:val="32"/>
            </w:rPr>
            <w:t>一</w:t>
          </w:r>
          <w:r>
            <w:rPr>
              <w:rFonts w:hint="eastAsia" w:ascii="黑体" w:hAnsi="黑体" w:eastAsia="黑体" w:cs="黑体"/>
              <w:bCs w:val="0"/>
              <w:spacing w:val="2"/>
              <w:sz w:val="32"/>
              <w:szCs w:val="32"/>
              <w:lang w:eastAsia="zh-CN"/>
            </w:rPr>
            <w:t>、</w:t>
          </w:r>
          <w:r>
            <w:rPr>
              <w:rFonts w:hint="eastAsia" w:ascii="黑体" w:hAnsi="黑体" w:eastAsia="黑体" w:cs="黑体"/>
              <w:bCs w:val="0"/>
              <w:spacing w:val="2"/>
              <w:sz w:val="32"/>
              <w:szCs w:val="32"/>
            </w:rPr>
            <w:t>规划背景</w:t>
          </w:r>
          <w:r>
            <w:rPr>
              <w:sz w:val="32"/>
              <w:szCs w:val="32"/>
            </w:rPr>
            <w:tab/>
          </w:r>
          <w:r>
            <w:rPr>
              <w:sz w:val="32"/>
              <w:szCs w:val="32"/>
            </w:rPr>
            <w:fldChar w:fldCharType="begin"/>
          </w:r>
          <w:r>
            <w:rPr>
              <w:sz w:val="32"/>
              <w:szCs w:val="32"/>
            </w:rPr>
            <w:instrText xml:space="preserve"> PAGEREF _Toc4265 \h </w:instrText>
          </w:r>
          <w:r>
            <w:rPr>
              <w:sz w:val="32"/>
              <w:szCs w:val="32"/>
            </w:rPr>
            <w:fldChar w:fldCharType="separate"/>
          </w:r>
          <w:r>
            <w:rPr>
              <w:sz w:val="32"/>
              <w:szCs w:val="32"/>
            </w:rPr>
            <w:t>- 1 -</w:t>
          </w:r>
          <w:r>
            <w:rPr>
              <w:sz w:val="32"/>
              <w:szCs w:val="32"/>
            </w:rPr>
            <w:fldChar w:fldCharType="end"/>
          </w:r>
          <w:r>
            <w:rPr>
              <w:sz w:val="32"/>
              <w:szCs w:val="32"/>
            </w:rPr>
            <w:fldChar w:fldCharType="end"/>
          </w:r>
        </w:p>
        <w:p w14:paraId="59B7DBEC">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_Toc5681 </w:instrText>
          </w:r>
          <w:r>
            <w:rPr>
              <w:sz w:val="32"/>
              <w:szCs w:val="32"/>
            </w:rPr>
            <w:fldChar w:fldCharType="separate"/>
          </w:r>
          <w:r>
            <w:rPr>
              <w:rFonts w:hint="eastAsia" w:ascii="楷体_GB2312" w:hAnsi="楷体_GB2312" w:eastAsia="楷体_GB2312" w:cs="楷体_GB2312"/>
              <w:bCs/>
              <w:spacing w:val="8"/>
              <w:sz w:val="32"/>
              <w:szCs w:val="32"/>
              <w:lang w:eastAsia="zh-CN"/>
            </w:rPr>
            <w:t>（</w:t>
          </w:r>
          <w:r>
            <w:rPr>
              <w:rFonts w:hint="eastAsia" w:ascii="楷体_GB2312" w:hAnsi="楷体_GB2312" w:eastAsia="楷体_GB2312" w:cs="楷体_GB2312"/>
              <w:bCs/>
              <w:spacing w:val="8"/>
              <w:sz w:val="32"/>
              <w:szCs w:val="32"/>
              <w:lang w:val="en-US" w:eastAsia="zh-CN"/>
            </w:rPr>
            <w:t>一）</w:t>
          </w:r>
          <w:r>
            <w:rPr>
              <w:rFonts w:hint="eastAsia" w:ascii="楷体_GB2312" w:hAnsi="楷体_GB2312" w:eastAsia="楷体_GB2312" w:cs="楷体_GB2312"/>
              <w:bCs/>
              <w:spacing w:val="8"/>
              <w:sz w:val="32"/>
              <w:szCs w:val="32"/>
            </w:rPr>
            <w:t>国家战略导向</w:t>
          </w:r>
          <w:r>
            <w:rPr>
              <w:rFonts w:hint="eastAsia" w:ascii="仿宋_GB2312" w:hAnsi="仿宋_GB2312" w:eastAsia="仿宋_GB2312" w:cs="仿宋_GB2312"/>
              <w:bCs w:val="0"/>
              <w:spacing w:val="8"/>
              <w:sz w:val="32"/>
              <w:szCs w:val="32"/>
            </w:rPr>
            <w:t>：建筑垃圾</w:t>
          </w:r>
          <w:r>
            <w:rPr>
              <w:rFonts w:hint="eastAsia" w:ascii="仿宋_GB2312" w:hAnsi="仿宋_GB2312" w:eastAsia="仿宋_GB2312" w:cs="仿宋_GB2312"/>
              <w:bCs w:val="0"/>
              <w:spacing w:val="8"/>
              <w:sz w:val="32"/>
              <w:szCs w:val="32"/>
              <w:lang w:val="en-US" w:eastAsia="zh-CN"/>
            </w:rPr>
            <w:t>污染防治</w:t>
          </w:r>
          <w:r>
            <w:rPr>
              <w:rFonts w:hint="eastAsia" w:ascii="仿宋_GB2312" w:hAnsi="仿宋_GB2312" w:eastAsia="仿宋_GB2312" w:cs="仿宋_GB2312"/>
              <w:bCs w:val="0"/>
              <w:spacing w:val="8"/>
              <w:sz w:val="32"/>
              <w:szCs w:val="32"/>
            </w:rPr>
            <w:t>是绿色转型的必然要求</w:t>
          </w:r>
          <w:r>
            <w:rPr>
              <w:sz w:val="32"/>
              <w:szCs w:val="32"/>
            </w:rPr>
            <w:tab/>
          </w:r>
          <w:r>
            <w:rPr>
              <w:sz w:val="32"/>
              <w:szCs w:val="32"/>
            </w:rPr>
            <w:fldChar w:fldCharType="begin"/>
          </w:r>
          <w:r>
            <w:rPr>
              <w:sz w:val="32"/>
              <w:szCs w:val="32"/>
            </w:rPr>
            <w:instrText xml:space="preserve"> PAGEREF _Toc5681 \h </w:instrText>
          </w:r>
          <w:r>
            <w:rPr>
              <w:sz w:val="32"/>
              <w:szCs w:val="32"/>
            </w:rPr>
            <w:fldChar w:fldCharType="separate"/>
          </w:r>
          <w:r>
            <w:rPr>
              <w:sz w:val="32"/>
              <w:szCs w:val="32"/>
            </w:rPr>
            <w:t>- 1 -</w:t>
          </w:r>
          <w:r>
            <w:rPr>
              <w:sz w:val="32"/>
              <w:szCs w:val="32"/>
            </w:rPr>
            <w:fldChar w:fldCharType="end"/>
          </w:r>
          <w:r>
            <w:rPr>
              <w:sz w:val="32"/>
              <w:szCs w:val="32"/>
            </w:rPr>
            <w:fldChar w:fldCharType="end"/>
          </w:r>
        </w:p>
        <w:p w14:paraId="06F1CFC8">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_Toc22535 </w:instrText>
          </w:r>
          <w:r>
            <w:rPr>
              <w:sz w:val="32"/>
              <w:szCs w:val="32"/>
            </w:rPr>
            <w:fldChar w:fldCharType="separate"/>
          </w:r>
          <w:r>
            <w:rPr>
              <w:rFonts w:hint="eastAsia" w:ascii="楷体_GB2312" w:hAnsi="楷体_GB2312" w:eastAsia="楷体_GB2312" w:cs="楷体_GB2312"/>
              <w:bCs/>
              <w:spacing w:val="8"/>
              <w:sz w:val="32"/>
              <w:szCs w:val="32"/>
              <w:lang w:eastAsia="zh-CN"/>
            </w:rPr>
            <w:t>（</w:t>
          </w:r>
          <w:r>
            <w:rPr>
              <w:rFonts w:hint="eastAsia" w:ascii="楷体_GB2312" w:hAnsi="楷体_GB2312" w:eastAsia="楷体_GB2312" w:cs="楷体_GB2312"/>
              <w:bCs/>
              <w:spacing w:val="8"/>
              <w:sz w:val="32"/>
              <w:szCs w:val="32"/>
              <w:lang w:val="en-US" w:eastAsia="zh-CN"/>
            </w:rPr>
            <w:t>二）区域使命担当</w:t>
          </w:r>
          <w:r>
            <w:rPr>
              <w:rFonts w:hint="eastAsia" w:ascii="仿宋_GB2312" w:hAnsi="仿宋_GB2312" w:eastAsia="仿宋_GB2312" w:cs="仿宋_GB2312"/>
              <w:bCs w:val="0"/>
              <w:spacing w:val="8"/>
              <w:sz w:val="32"/>
              <w:szCs w:val="32"/>
            </w:rPr>
            <w:t>：建筑垃圾</w:t>
          </w:r>
          <w:r>
            <w:rPr>
              <w:rFonts w:hint="eastAsia" w:ascii="仿宋_GB2312" w:hAnsi="仿宋_GB2312" w:eastAsia="仿宋_GB2312" w:cs="仿宋_GB2312"/>
              <w:bCs w:val="0"/>
              <w:spacing w:val="8"/>
              <w:sz w:val="32"/>
              <w:szCs w:val="32"/>
              <w:lang w:val="en-US" w:eastAsia="zh-CN"/>
            </w:rPr>
            <w:t>污染防治</w:t>
          </w:r>
          <w:r>
            <w:rPr>
              <w:rFonts w:hint="eastAsia" w:ascii="仿宋_GB2312" w:hAnsi="仿宋_GB2312" w:eastAsia="仿宋_GB2312" w:cs="仿宋_GB2312"/>
              <w:bCs w:val="0"/>
              <w:spacing w:val="8"/>
              <w:sz w:val="32"/>
              <w:szCs w:val="32"/>
            </w:rPr>
            <w:t>是筑牢西部生态屏障的现实责任​</w:t>
          </w:r>
          <w:r>
            <w:rPr>
              <w:sz w:val="32"/>
              <w:szCs w:val="32"/>
            </w:rPr>
            <w:tab/>
          </w:r>
          <w:r>
            <w:rPr>
              <w:sz w:val="32"/>
              <w:szCs w:val="32"/>
            </w:rPr>
            <w:fldChar w:fldCharType="begin"/>
          </w:r>
          <w:r>
            <w:rPr>
              <w:sz w:val="32"/>
              <w:szCs w:val="32"/>
            </w:rPr>
            <w:instrText xml:space="preserve"> PAGEREF _Toc22535 \h </w:instrText>
          </w:r>
          <w:r>
            <w:rPr>
              <w:sz w:val="32"/>
              <w:szCs w:val="32"/>
            </w:rPr>
            <w:fldChar w:fldCharType="separate"/>
          </w:r>
          <w:r>
            <w:rPr>
              <w:sz w:val="32"/>
              <w:szCs w:val="32"/>
            </w:rPr>
            <w:t>- 1 -</w:t>
          </w:r>
          <w:r>
            <w:rPr>
              <w:sz w:val="32"/>
              <w:szCs w:val="32"/>
            </w:rPr>
            <w:fldChar w:fldCharType="end"/>
          </w:r>
          <w:r>
            <w:rPr>
              <w:sz w:val="32"/>
              <w:szCs w:val="32"/>
            </w:rPr>
            <w:fldChar w:fldCharType="end"/>
          </w:r>
        </w:p>
        <w:p w14:paraId="2BFD2028">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_Toc29995 </w:instrText>
          </w:r>
          <w:r>
            <w:rPr>
              <w:sz w:val="32"/>
              <w:szCs w:val="32"/>
            </w:rPr>
            <w:fldChar w:fldCharType="separate"/>
          </w:r>
          <w:r>
            <w:rPr>
              <w:rFonts w:hint="eastAsia" w:ascii="楷体_GB2312" w:hAnsi="楷体_GB2312" w:eastAsia="楷体_GB2312" w:cs="楷体_GB2312"/>
              <w:bCs/>
              <w:spacing w:val="8"/>
              <w:sz w:val="32"/>
              <w:szCs w:val="32"/>
              <w:lang w:eastAsia="zh-CN"/>
            </w:rPr>
            <w:t>（</w:t>
          </w:r>
          <w:r>
            <w:rPr>
              <w:rFonts w:hint="eastAsia" w:ascii="楷体_GB2312" w:hAnsi="楷体_GB2312" w:eastAsia="楷体_GB2312" w:cs="楷体_GB2312"/>
              <w:bCs/>
              <w:spacing w:val="8"/>
              <w:sz w:val="32"/>
              <w:szCs w:val="32"/>
              <w:lang w:val="en-US" w:eastAsia="zh-CN"/>
            </w:rPr>
            <w:t>三）地方现实需求</w:t>
          </w:r>
          <w:r>
            <w:rPr>
              <w:rFonts w:hint="eastAsia" w:ascii="仿宋_GB2312" w:hAnsi="仿宋_GB2312" w:eastAsia="仿宋_GB2312" w:cs="仿宋_GB2312"/>
              <w:bCs/>
              <w:spacing w:val="8"/>
              <w:sz w:val="32"/>
              <w:szCs w:val="32"/>
            </w:rPr>
            <w:t>：</w:t>
          </w:r>
          <w:r>
            <w:rPr>
              <w:rFonts w:hint="eastAsia" w:ascii="仿宋_GB2312" w:hAnsi="仿宋_GB2312" w:eastAsia="仿宋_GB2312" w:cs="仿宋_GB2312"/>
              <w:bCs w:val="0"/>
              <w:spacing w:val="8"/>
              <w:sz w:val="32"/>
              <w:szCs w:val="32"/>
            </w:rPr>
            <w:t>建筑垃圾</w:t>
          </w:r>
          <w:r>
            <w:rPr>
              <w:rFonts w:hint="eastAsia" w:ascii="仿宋_GB2312" w:hAnsi="仿宋_GB2312" w:eastAsia="仿宋_GB2312" w:cs="仿宋_GB2312"/>
              <w:bCs w:val="0"/>
              <w:spacing w:val="8"/>
              <w:sz w:val="32"/>
              <w:szCs w:val="32"/>
              <w:lang w:val="en-US" w:eastAsia="zh-CN"/>
            </w:rPr>
            <w:t>污染防治</w:t>
          </w:r>
          <w:r>
            <w:rPr>
              <w:rFonts w:hint="eastAsia" w:ascii="仿宋_GB2312" w:hAnsi="仿宋_GB2312" w:eastAsia="仿宋_GB2312" w:cs="仿宋_GB2312"/>
              <w:bCs w:val="0"/>
              <w:spacing w:val="8"/>
              <w:sz w:val="32"/>
              <w:szCs w:val="32"/>
            </w:rPr>
            <w:t>是破解发展痛点的紧迫任务​</w:t>
          </w:r>
          <w:r>
            <w:rPr>
              <w:sz w:val="32"/>
              <w:szCs w:val="32"/>
            </w:rPr>
            <w:tab/>
          </w:r>
          <w:r>
            <w:rPr>
              <w:sz w:val="32"/>
              <w:szCs w:val="32"/>
            </w:rPr>
            <w:fldChar w:fldCharType="begin"/>
          </w:r>
          <w:r>
            <w:rPr>
              <w:sz w:val="32"/>
              <w:szCs w:val="32"/>
            </w:rPr>
            <w:instrText xml:space="preserve"> PAGEREF _Toc29995 \h </w:instrText>
          </w:r>
          <w:r>
            <w:rPr>
              <w:sz w:val="32"/>
              <w:szCs w:val="32"/>
            </w:rPr>
            <w:fldChar w:fldCharType="separate"/>
          </w:r>
          <w:r>
            <w:rPr>
              <w:sz w:val="32"/>
              <w:szCs w:val="32"/>
            </w:rPr>
            <w:t>- 1 -</w:t>
          </w:r>
          <w:r>
            <w:rPr>
              <w:sz w:val="32"/>
              <w:szCs w:val="32"/>
            </w:rPr>
            <w:fldChar w:fldCharType="end"/>
          </w:r>
          <w:r>
            <w:rPr>
              <w:sz w:val="32"/>
              <w:szCs w:val="32"/>
            </w:rPr>
            <w:fldChar w:fldCharType="end"/>
          </w:r>
        </w:p>
        <w:p w14:paraId="1BDD95F7">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_Toc10233 </w:instrText>
          </w:r>
          <w:r>
            <w:rPr>
              <w:sz w:val="32"/>
              <w:szCs w:val="32"/>
            </w:rPr>
            <w:fldChar w:fldCharType="separate"/>
          </w:r>
          <w:r>
            <w:rPr>
              <w:rFonts w:hint="eastAsia" w:ascii="黑体" w:hAnsi="黑体" w:eastAsia="黑体" w:cs="黑体"/>
              <w:bCs w:val="0"/>
              <w:spacing w:val="2"/>
              <w:sz w:val="32"/>
              <w:szCs w:val="32"/>
            </w:rPr>
            <w:t>二</w:t>
          </w:r>
          <w:r>
            <w:rPr>
              <w:rFonts w:hint="eastAsia" w:ascii="黑体" w:hAnsi="黑体" w:eastAsia="黑体" w:cs="黑体"/>
              <w:bCs w:val="0"/>
              <w:spacing w:val="2"/>
              <w:sz w:val="32"/>
              <w:szCs w:val="32"/>
              <w:lang w:eastAsia="zh-CN"/>
            </w:rPr>
            <w:t>、</w:t>
          </w:r>
          <w:r>
            <w:rPr>
              <w:rFonts w:hint="eastAsia" w:ascii="黑体" w:hAnsi="黑体" w:eastAsia="黑体" w:cs="黑体"/>
              <w:bCs w:val="0"/>
              <w:spacing w:val="2"/>
              <w:sz w:val="32"/>
              <w:szCs w:val="32"/>
            </w:rPr>
            <w:t>指导思想</w:t>
          </w:r>
          <w:r>
            <w:rPr>
              <w:sz w:val="32"/>
              <w:szCs w:val="32"/>
            </w:rPr>
            <w:tab/>
          </w:r>
          <w:r>
            <w:rPr>
              <w:sz w:val="32"/>
              <w:szCs w:val="32"/>
            </w:rPr>
            <w:fldChar w:fldCharType="begin"/>
          </w:r>
          <w:r>
            <w:rPr>
              <w:sz w:val="32"/>
              <w:szCs w:val="32"/>
            </w:rPr>
            <w:instrText xml:space="preserve"> PAGEREF _Toc10233 \h </w:instrText>
          </w:r>
          <w:r>
            <w:rPr>
              <w:sz w:val="32"/>
              <w:szCs w:val="32"/>
            </w:rPr>
            <w:fldChar w:fldCharType="separate"/>
          </w:r>
          <w:r>
            <w:rPr>
              <w:sz w:val="32"/>
              <w:szCs w:val="32"/>
            </w:rPr>
            <w:t>- 1 -</w:t>
          </w:r>
          <w:r>
            <w:rPr>
              <w:sz w:val="32"/>
              <w:szCs w:val="32"/>
            </w:rPr>
            <w:fldChar w:fldCharType="end"/>
          </w:r>
          <w:r>
            <w:rPr>
              <w:sz w:val="32"/>
              <w:szCs w:val="32"/>
            </w:rPr>
            <w:fldChar w:fldCharType="end"/>
          </w:r>
        </w:p>
        <w:p w14:paraId="0D5DC34E">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_Toc6734 </w:instrText>
          </w:r>
          <w:r>
            <w:rPr>
              <w:sz w:val="32"/>
              <w:szCs w:val="32"/>
            </w:rPr>
            <w:fldChar w:fldCharType="separate"/>
          </w:r>
          <w:r>
            <w:rPr>
              <w:rFonts w:hint="eastAsia" w:ascii="黑体" w:hAnsi="黑体" w:eastAsia="黑体" w:cs="黑体"/>
              <w:bCs w:val="0"/>
              <w:spacing w:val="2"/>
              <w:sz w:val="32"/>
              <w:szCs w:val="32"/>
            </w:rPr>
            <w:t>三</w:t>
          </w:r>
          <w:r>
            <w:rPr>
              <w:rFonts w:hint="eastAsia" w:ascii="黑体" w:hAnsi="黑体" w:eastAsia="黑体" w:cs="黑体"/>
              <w:bCs w:val="0"/>
              <w:spacing w:val="2"/>
              <w:sz w:val="32"/>
              <w:szCs w:val="32"/>
              <w:lang w:eastAsia="zh-CN"/>
            </w:rPr>
            <w:t>、</w:t>
          </w:r>
          <w:r>
            <w:rPr>
              <w:rFonts w:hint="eastAsia" w:ascii="黑体" w:hAnsi="黑体" w:eastAsia="黑体" w:cs="黑体"/>
              <w:bCs w:val="0"/>
              <w:spacing w:val="2"/>
              <w:sz w:val="32"/>
              <w:szCs w:val="32"/>
            </w:rPr>
            <w:t>规划原则</w:t>
          </w:r>
          <w:r>
            <w:rPr>
              <w:sz w:val="32"/>
              <w:szCs w:val="32"/>
            </w:rPr>
            <w:tab/>
          </w:r>
          <w:r>
            <w:rPr>
              <w:sz w:val="32"/>
              <w:szCs w:val="32"/>
            </w:rPr>
            <w:fldChar w:fldCharType="begin"/>
          </w:r>
          <w:r>
            <w:rPr>
              <w:sz w:val="32"/>
              <w:szCs w:val="32"/>
            </w:rPr>
            <w:instrText xml:space="preserve"> PAGEREF _Toc6734 \h </w:instrText>
          </w:r>
          <w:r>
            <w:rPr>
              <w:sz w:val="32"/>
              <w:szCs w:val="32"/>
            </w:rPr>
            <w:fldChar w:fldCharType="separate"/>
          </w:r>
          <w:r>
            <w:rPr>
              <w:sz w:val="32"/>
              <w:szCs w:val="32"/>
            </w:rPr>
            <w:t>- 2 -</w:t>
          </w:r>
          <w:r>
            <w:rPr>
              <w:sz w:val="32"/>
              <w:szCs w:val="32"/>
            </w:rPr>
            <w:fldChar w:fldCharType="end"/>
          </w:r>
          <w:r>
            <w:rPr>
              <w:sz w:val="32"/>
              <w:szCs w:val="32"/>
            </w:rPr>
            <w:fldChar w:fldCharType="end"/>
          </w:r>
        </w:p>
        <w:p w14:paraId="693188F5">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_Toc26311 </w:instrText>
          </w:r>
          <w:r>
            <w:rPr>
              <w:sz w:val="32"/>
              <w:szCs w:val="32"/>
            </w:rPr>
            <w:fldChar w:fldCharType="separate"/>
          </w:r>
          <w:r>
            <w:rPr>
              <w:rFonts w:hint="eastAsia" w:ascii="楷体_GB2312" w:hAnsi="楷体_GB2312" w:eastAsia="楷体_GB2312" w:cs="楷体_GB2312"/>
              <w:bCs/>
              <w:spacing w:val="8"/>
              <w:sz w:val="32"/>
              <w:szCs w:val="32"/>
              <w:lang w:eastAsia="zh-CN"/>
            </w:rPr>
            <w:t>（</w:t>
          </w:r>
          <w:r>
            <w:rPr>
              <w:rFonts w:hint="eastAsia" w:ascii="楷体_GB2312" w:hAnsi="楷体_GB2312" w:eastAsia="楷体_GB2312" w:cs="楷体_GB2312"/>
              <w:bCs/>
              <w:spacing w:val="8"/>
              <w:sz w:val="32"/>
              <w:szCs w:val="32"/>
              <w:lang w:val="en-US" w:eastAsia="zh-CN"/>
            </w:rPr>
            <w:t>一）</w:t>
          </w:r>
          <w:r>
            <w:rPr>
              <w:rFonts w:hint="default" w:ascii="楷体_GB2312" w:hAnsi="楷体_GB2312" w:eastAsia="楷体_GB2312" w:cs="楷体_GB2312"/>
              <w:bCs/>
              <w:spacing w:val="8"/>
              <w:sz w:val="32"/>
              <w:szCs w:val="32"/>
              <w:lang w:val="en-US" w:eastAsia="zh-CN"/>
            </w:rPr>
            <w:t>统筹协调，系统治理</w:t>
          </w:r>
          <w:r>
            <w:rPr>
              <w:sz w:val="32"/>
              <w:szCs w:val="32"/>
            </w:rPr>
            <w:tab/>
          </w:r>
          <w:r>
            <w:rPr>
              <w:sz w:val="32"/>
              <w:szCs w:val="32"/>
            </w:rPr>
            <w:fldChar w:fldCharType="begin"/>
          </w:r>
          <w:r>
            <w:rPr>
              <w:sz w:val="32"/>
              <w:szCs w:val="32"/>
            </w:rPr>
            <w:instrText xml:space="preserve"> PAGEREF _Toc26311 \h </w:instrText>
          </w:r>
          <w:r>
            <w:rPr>
              <w:sz w:val="32"/>
              <w:szCs w:val="32"/>
            </w:rPr>
            <w:fldChar w:fldCharType="separate"/>
          </w:r>
          <w:r>
            <w:rPr>
              <w:sz w:val="32"/>
              <w:szCs w:val="32"/>
            </w:rPr>
            <w:t>- 2 -</w:t>
          </w:r>
          <w:r>
            <w:rPr>
              <w:sz w:val="32"/>
              <w:szCs w:val="32"/>
            </w:rPr>
            <w:fldChar w:fldCharType="end"/>
          </w:r>
          <w:r>
            <w:rPr>
              <w:sz w:val="32"/>
              <w:szCs w:val="32"/>
            </w:rPr>
            <w:fldChar w:fldCharType="end"/>
          </w:r>
        </w:p>
        <w:p w14:paraId="013A9476">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_Toc3042 </w:instrText>
          </w:r>
          <w:r>
            <w:rPr>
              <w:sz w:val="32"/>
              <w:szCs w:val="32"/>
            </w:rPr>
            <w:fldChar w:fldCharType="separate"/>
          </w:r>
          <w:r>
            <w:rPr>
              <w:rFonts w:hint="eastAsia" w:ascii="楷体_GB2312" w:hAnsi="楷体_GB2312" w:eastAsia="楷体_GB2312" w:cs="楷体_GB2312"/>
              <w:bCs/>
              <w:spacing w:val="8"/>
              <w:sz w:val="32"/>
              <w:szCs w:val="32"/>
              <w:lang w:eastAsia="zh-CN"/>
            </w:rPr>
            <w:t>（</w:t>
          </w:r>
          <w:r>
            <w:rPr>
              <w:rFonts w:hint="eastAsia" w:ascii="楷体_GB2312" w:hAnsi="楷体_GB2312" w:eastAsia="楷体_GB2312" w:cs="楷体_GB2312"/>
              <w:bCs/>
              <w:spacing w:val="8"/>
              <w:sz w:val="32"/>
              <w:szCs w:val="32"/>
              <w:lang w:val="en-US" w:eastAsia="zh-CN"/>
            </w:rPr>
            <w:t>二）</w:t>
          </w:r>
          <w:r>
            <w:rPr>
              <w:rFonts w:hint="default" w:ascii="楷体_GB2312" w:hAnsi="楷体_GB2312" w:eastAsia="楷体_GB2312" w:cs="楷体_GB2312"/>
              <w:bCs/>
              <w:spacing w:val="8"/>
              <w:sz w:val="32"/>
              <w:szCs w:val="32"/>
              <w:lang w:val="en-US" w:eastAsia="zh-CN"/>
            </w:rPr>
            <w:t>源头控制，减量化优先</w:t>
          </w:r>
          <w:r>
            <w:rPr>
              <w:sz w:val="32"/>
              <w:szCs w:val="32"/>
            </w:rPr>
            <w:tab/>
          </w:r>
          <w:r>
            <w:rPr>
              <w:sz w:val="32"/>
              <w:szCs w:val="32"/>
            </w:rPr>
            <w:fldChar w:fldCharType="begin"/>
          </w:r>
          <w:r>
            <w:rPr>
              <w:sz w:val="32"/>
              <w:szCs w:val="32"/>
            </w:rPr>
            <w:instrText xml:space="preserve"> PAGEREF _Toc3042 \h </w:instrText>
          </w:r>
          <w:r>
            <w:rPr>
              <w:sz w:val="32"/>
              <w:szCs w:val="32"/>
            </w:rPr>
            <w:fldChar w:fldCharType="separate"/>
          </w:r>
          <w:r>
            <w:rPr>
              <w:sz w:val="32"/>
              <w:szCs w:val="32"/>
            </w:rPr>
            <w:t>- 2 -</w:t>
          </w:r>
          <w:r>
            <w:rPr>
              <w:sz w:val="32"/>
              <w:szCs w:val="32"/>
            </w:rPr>
            <w:fldChar w:fldCharType="end"/>
          </w:r>
          <w:r>
            <w:rPr>
              <w:sz w:val="32"/>
              <w:szCs w:val="32"/>
            </w:rPr>
            <w:fldChar w:fldCharType="end"/>
          </w:r>
        </w:p>
        <w:p w14:paraId="2A71EA0B">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_Toc24108 </w:instrText>
          </w:r>
          <w:r>
            <w:rPr>
              <w:sz w:val="32"/>
              <w:szCs w:val="32"/>
            </w:rPr>
            <w:fldChar w:fldCharType="separate"/>
          </w:r>
          <w:r>
            <w:rPr>
              <w:rFonts w:hint="eastAsia" w:ascii="楷体_GB2312" w:hAnsi="楷体_GB2312" w:eastAsia="楷体_GB2312" w:cs="楷体_GB2312"/>
              <w:bCs/>
              <w:spacing w:val="8"/>
              <w:sz w:val="32"/>
              <w:szCs w:val="32"/>
              <w:lang w:eastAsia="zh-CN"/>
            </w:rPr>
            <w:t>（</w:t>
          </w:r>
          <w:r>
            <w:rPr>
              <w:rFonts w:hint="eastAsia" w:ascii="楷体_GB2312" w:hAnsi="楷体_GB2312" w:eastAsia="楷体_GB2312" w:cs="楷体_GB2312"/>
              <w:bCs/>
              <w:spacing w:val="8"/>
              <w:sz w:val="32"/>
              <w:szCs w:val="32"/>
              <w:lang w:val="en-US" w:eastAsia="zh-CN"/>
            </w:rPr>
            <w:t>三）</w:t>
          </w:r>
          <w:r>
            <w:rPr>
              <w:rFonts w:hint="default" w:ascii="楷体_GB2312" w:hAnsi="楷体_GB2312" w:eastAsia="楷体_GB2312" w:cs="楷体_GB2312"/>
              <w:bCs/>
              <w:spacing w:val="8"/>
              <w:sz w:val="32"/>
              <w:szCs w:val="32"/>
              <w:lang w:val="en-US" w:eastAsia="zh-CN"/>
            </w:rPr>
            <w:t>创新驱动，科技支撑</w:t>
          </w:r>
          <w:r>
            <w:rPr>
              <w:sz w:val="32"/>
              <w:szCs w:val="32"/>
            </w:rPr>
            <w:tab/>
          </w:r>
          <w:r>
            <w:rPr>
              <w:sz w:val="32"/>
              <w:szCs w:val="32"/>
            </w:rPr>
            <w:fldChar w:fldCharType="begin"/>
          </w:r>
          <w:r>
            <w:rPr>
              <w:sz w:val="32"/>
              <w:szCs w:val="32"/>
            </w:rPr>
            <w:instrText xml:space="preserve"> PAGEREF _Toc24108 \h </w:instrText>
          </w:r>
          <w:r>
            <w:rPr>
              <w:sz w:val="32"/>
              <w:szCs w:val="32"/>
            </w:rPr>
            <w:fldChar w:fldCharType="separate"/>
          </w:r>
          <w:r>
            <w:rPr>
              <w:sz w:val="32"/>
              <w:szCs w:val="32"/>
            </w:rPr>
            <w:t>- 2 -</w:t>
          </w:r>
          <w:r>
            <w:rPr>
              <w:sz w:val="32"/>
              <w:szCs w:val="32"/>
            </w:rPr>
            <w:fldChar w:fldCharType="end"/>
          </w:r>
          <w:r>
            <w:rPr>
              <w:sz w:val="32"/>
              <w:szCs w:val="32"/>
            </w:rPr>
            <w:fldChar w:fldCharType="end"/>
          </w:r>
        </w:p>
        <w:p w14:paraId="51E4EE52">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_Toc16106 </w:instrText>
          </w:r>
          <w:r>
            <w:rPr>
              <w:sz w:val="32"/>
              <w:szCs w:val="32"/>
            </w:rPr>
            <w:fldChar w:fldCharType="separate"/>
          </w:r>
          <w:r>
            <w:rPr>
              <w:rFonts w:hint="eastAsia" w:ascii="楷体_GB2312" w:hAnsi="楷体_GB2312" w:eastAsia="楷体_GB2312" w:cs="楷体_GB2312"/>
              <w:bCs/>
              <w:spacing w:val="8"/>
              <w:sz w:val="32"/>
              <w:szCs w:val="32"/>
              <w:lang w:eastAsia="zh-CN"/>
            </w:rPr>
            <w:t>（</w:t>
          </w:r>
          <w:r>
            <w:rPr>
              <w:rFonts w:hint="eastAsia" w:ascii="楷体_GB2312" w:hAnsi="楷体_GB2312" w:eastAsia="楷体_GB2312" w:cs="楷体_GB2312"/>
              <w:bCs/>
              <w:spacing w:val="8"/>
              <w:sz w:val="32"/>
              <w:szCs w:val="32"/>
              <w:lang w:val="en-US" w:eastAsia="zh-CN"/>
            </w:rPr>
            <w:t>四）</w:t>
          </w:r>
          <w:r>
            <w:rPr>
              <w:rFonts w:hint="default" w:ascii="楷体_GB2312" w:hAnsi="楷体_GB2312" w:eastAsia="楷体_GB2312" w:cs="楷体_GB2312"/>
              <w:bCs/>
              <w:spacing w:val="8"/>
              <w:sz w:val="32"/>
              <w:szCs w:val="32"/>
              <w:lang w:val="en-US" w:eastAsia="zh-CN"/>
            </w:rPr>
            <w:t>依法监管，严格执法</w:t>
          </w:r>
          <w:r>
            <w:rPr>
              <w:sz w:val="32"/>
              <w:szCs w:val="32"/>
            </w:rPr>
            <w:tab/>
          </w:r>
          <w:r>
            <w:rPr>
              <w:sz w:val="32"/>
              <w:szCs w:val="32"/>
            </w:rPr>
            <w:fldChar w:fldCharType="begin"/>
          </w:r>
          <w:r>
            <w:rPr>
              <w:sz w:val="32"/>
              <w:szCs w:val="32"/>
            </w:rPr>
            <w:instrText xml:space="preserve"> PAGEREF _Toc16106 \h </w:instrText>
          </w:r>
          <w:r>
            <w:rPr>
              <w:sz w:val="32"/>
              <w:szCs w:val="32"/>
            </w:rPr>
            <w:fldChar w:fldCharType="separate"/>
          </w:r>
          <w:r>
            <w:rPr>
              <w:sz w:val="32"/>
              <w:szCs w:val="32"/>
            </w:rPr>
            <w:t>- 2 -</w:t>
          </w:r>
          <w:r>
            <w:rPr>
              <w:sz w:val="32"/>
              <w:szCs w:val="32"/>
            </w:rPr>
            <w:fldChar w:fldCharType="end"/>
          </w:r>
          <w:r>
            <w:rPr>
              <w:sz w:val="32"/>
              <w:szCs w:val="32"/>
            </w:rPr>
            <w:fldChar w:fldCharType="end"/>
          </w:r>
        </w:p>
        <w:p w14:paraId="281F719F">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_Toc142 </w:instrText>
          </w:r>
          <w:r>
            <w:rPr>
              <w:sz w:val="32"/>
              <w:szCs w:val="32"/>
            </w:rPr>
            <w:fldChar w:fldCharType="separate"/>
          </w:r>
          <w:r>
            <w:rPr>
              <w:rFonts w:hint="eastAsia" w:ascii="楷体_GB2312" w:hAnsi="楷体_GB2312" w:eastAsia="楷体_GB2312" w:cs="楷体_GB2312"/>
              <w:bCs/>
              <w:spacing w:val="8"/>
              <w:sz w:val="32"/>
              <w:szCs w:val="32"/>
              <w:lang w:eastAsia="zh-CN"/>
            </w:rPr>
            <w:t>（</w:t>
          </w:r>
          <w:r>
            <w:rPr>
              <w:rFonts w:hint="eastAsia" w:ascii="楷体_GB2312" w:hAnsi="楷体_GB2312" w:eastAsia="楷体_GB2312" w:cs="楷体_GB2312"/>
              <w:bCs/>
              <w:spacing w:val="8"/>
              <w:sz w:val="32"/>
              <w:szCs w:val="32"/>
              <w:lang w:val="en-US" w:eastAsia="zh-CN"/>
            </w:rPr>
            <w:t>五）</w:t>
          </w:r>
          <w:r>
            <w:rPr>
              <w:rFonts w:hint="default" w:ascii="楷体_GB2312" w:hAnsi="楷体_GB2312" w:eastAsia="楷体_GB2312" w:cs="楷体_GB2312"/>
              <w:bCs/>
              <w:spacing w:val="8"/>
              <w:sz w:val="32"/>
              <w:szCs w:val="32"/>
              <w:lang w:val="en-US" w:eastAsia="zh-CN"/>
            </w:rPr>
            <w:t>公众参与，共建共享</w:t>
          </w:r>
          <w:r>
            <w:rPr>
              <w:sz w:val="32"/>
              <w:szCs w:val="32"/>
            </w:rPr>
            <w:tab/>
          </w:r>
          <w:r>
            <w:rPr>
              <w:sz w:val="32"/>
              <w:szCs w:val="32"/>
            </w:rPr>
            <w:fldChar w:fldCharType="begin"/>
          </w:r>
          <w:r>
            <w:rPr>
              <w:sz w:val="32"/>
              <w:szCs w:val="32"/>
            </w:rPr>
            <w:instrText xml:space="preserve"> PAGEREF _Toc142 \h </w:instrText>
          </w:r>
          <w:r>
            <w:rPr>
              <w:sz w:val="32"/>
              <w:szCs w:val="32"/>
            </w:rPr>
            <w:fldChar w:fldCharType="separate"/>
          </w:r>
          <w:r>
            <w:rPr>
              <w:sz w:val="32"/>
              <w:szCs w:val="32"/>
            </w:rPr>
            <w:t>- 2 -</w:t>
          </w:r>
          <w:r>
            <w:rPr>
              <w:sz w:val="32"/>
              <w:szCs w:val="32"/>
            </w:rPr>
            <w:fldChar w:fldCharType="end"/>
          </w:r>
          <w:r>
            <w:rPr>
              <w:sz w:val="32"/>
              <w:szCs w:val="32"/>
            </w:rPr>
            <w:fldChar w:fldCharType="end"/>
          </w:r>
        </w:p>
        <w:p w14:paraId="1844676D">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_Toc4086 </w:instrText>
          </w:r>
          <w:r>
            <w:rPr>
              <w:sz w:val="32"/>
              <w:szCs w:val="32"/>
            </w:rPr>
            <w:fldChar w:fldCharType="separate"/>
          </w:r>
          <w:r>
            <w:rPr>
              <w:rFonts w:hint="eastAsia" w:ascii="黑体" w:hAnsi="黑体" w:eastAsia="黑体" w:cs="黑体"/>
              <w:bCs w:val="0"/>
              <w:spacing w:val="2"/>
              <w:sz w:val="32"/>
              <w:szCs w:val="32"/>
            </w:rPr>
            <w:t>四</w:t>
          </w:r>
          <w:r>
            <w:rPr>
              <w:rFonts w:hint="eastAsia" w:ascii="黑体" w:hAnsi="黑体" w:eastAsia="黑体" w:cs="黑体"/>
              <w:bCs w:val="0"/>
              <w:spacing w:val="2"/>
              <w:sz w:val="32"/>
              <w:szCs w:val="32"/>
              <w:lang w:eastAsia="zh-CN"/>
            </w:rPr>
            <w:t>、</w:t>
          </w:r>
          <w:r>
            <w:rPr>
              <w:rFonts w:hint="eastAsia" w:ascii="黑体" w:hAnsi="黑体" w:eastAsia="黑体" w:cs="黑体"/>
              <w:bCs w:val="0"/>
              <w:spacing w:val="2"/>
              <w:sz w:val="32"/>
              <w:szCs w:val="32"/>
            </w:rPr>
            <w:t>规划依据</w:t>
          </w:r>
          <w:r>
            <w:rPr>
              <w:sz w:val="32"/>
              <w:szCs w:val="32"/>
            </w:rPr>
            <w:tab/>
          </w:r>
          <w:r>
            <w:rPr>
              <w:sz w:val="32"/>
              <w:szCs w:val="32"/>
            </w:rPr>
            <w:fldChar w:fldCharType="begin"/>
          </w:r>
          <w:r>
            <w:rPr>
              <w:sz w:val="32"/>
              <w:szCs w:val="32"/>
            </w:rPr>
            <w:instrText xml:space="preserve"> PAGEREF _Toc4086 \h </w:instrText>
          </w:r>
          <w:r>
            <w:rPr>
              <w:sz w:val="32"/>
              <w:szCs w:val="32"/>
            </w:rPr>
            <w:fldChar w:fldCharType="separate"/>
          </w:r>
          <w:r>
            <w:rPr>
              <w:sz w:val="32"/>
              <w:szCs w:val="32"/>
            </w:rPr>
            <w:t>- 2 -</w:t>
          </w:r>
          <w:r>
            <w:rPr>
              <w:sz w:val="32"/>
              <w:szCs w:val="32"/>
            </w:rPr>
            <w:fldChar w:fldCharType="end"/>
          </w:r>
          <w:r>
            <w:rPr>
              <w:sz w:val="32"/>
              <w:szCs w:val="32"/>
            </w:rPr>
            <w:fldChar w:fldCharType="end"/>
          </w:r>
        </w:p>
        <w:p w14:paraId="4B6309E3">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_Toc9463 </w:instrText>
          </w:r>
          <w:r>
            <w:rPr>
              <w:sz w:val="32"/>
              <w:szCs w:val="32"/>
            </w:rPr>
            <w:fldChar w:fldCharType="separate"/>
          </w:r>
          <w:r>
            <w:rPr>
              <w:rFonts w:hint="eastAsia" w:ascii="楷体_GB2312" w:hAnsi="楷体_GB2312" w:eastAsia="楷体_GB2312" w:cs="楷体_GB2312"/>
              <w:bCs/>
              <w:spacing w:val="8"/>
              <w:sz w:val="32"/>
              <w:szCs w:val="32"/>
              <w:lang w:eastAsia="zh-CN"/>
            </w:rPr>
            <w:t>（</w:t>
          </w:r>
          <w:r>
            <w:rPr>
              <w:rFonts w:hint="eastAsia" w:ascii="楷体_GB2312" w:hAnsi="楷体_GB2312" w:eastAsia="楷体_GB2312" w:cs="楷体_GB2312"/>
              <w:bCs/>
              <w:spacing w:val="8"/>
              <w:sz w:val="32"/>
              <w:szCs w:val="32"/>
              <w:lang w:val="en-US" w:eastAsia="zh-CN"/>
            </w:rPr>
            <w:t>一）</w:t>
          </w:r>
          <w:r>
            <w:rPr>
              <w:rFonts w:hint="default" w:ascii="楷体_GB2312" w:hAnsi="楷体_GB2312" w:eastAsia="楷体_GB2312" w:cs="楷体_GB2312"/>
              <w:bCs/>
              <w:spacing w:val="8"/>
              <w:sz w:val="32"/>
              <w:szCs w:val="32"/>
              <w:lang w:val="en-US" w:eastAsia="zh-CN"/>
            </w:rPr>
            <w:t>法律法规</w:t>
          </w:r>
          <w:r>
            <w:rPr>
              <w:rFonts w:hint="default" w:ascii="仿宋_GB2312" w:hAnsi="仿宋_GB2312" w:eastAsia="仿宋_GB2312" w:cs="仿宋_GB2312"/>
              <w:bCs w:val="0"/>
              <w:spacing w:val="8"/>
              <w:sz w:val="32"/>
              <w:szCs w:val="32"/>
              <w:lang w:val="en-US" w:eastAsia="zh-CN"/>
            </w:rPr>
            <w:t>​​</w:t>
          </w:r>
          <w:r>
            <w:rPr>
              <w:sz w:val="32"/>
              <w:szCs w:val="32"/>
            </w:rPr>
            <w:tab/>
          </w:r>
          <w:r>
            <w:rPr>
              <w:sz w:val="32"/>
              <w:szCs w:val="32"/>
            </w:rPr>
            <w:fldChar w:fldCharType="begin"/>
          </w:r>
          <w:r>
            <w:rPr>
              <w:sz w:val="32"/>
              <w:szCs w:val="32"/>
            </w:rPr>
            <w:instrText xml:space="preserve"> PAGEREF _Toc9463 \h </w:instrText>
          </w:r>
          <w:r>
            <w:rPr>
              <w:sz w:val="32"/>
              <w:szCs w:val="32"/>
            </w:rPr>
            <w:fldChar w:fldCharType="separate"/>
          </w:r>
          <w:r>
            <w:rPr>
              <w:sz w:val="32"/>
              <w:szCs w:val="32"/>
            </w:rPr>
            <w:t>- 2 -</w:t>
          </w:r>
          <w:r>
            <w:rPr>
              <w:sz w:val="32"/>
              <w:szCs w:val="32"/>
            </w:rPr>
            <w:fldChar w:fldCharType="end"/>
          </w:r>
          <w:r>
            <w:rPr>
              <w:sz w:val="32"/>
              <w:szCs w:val="32"/>
            </w:rPr>
            <w:fldChar w:fldCharType="end"/>
          </w:r>
        </w:p>
        <w:p w14:paraId="23EB2863">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_Toc7096 </w:instrText>
          </w:r>
          <w:r>
            <w:rPr>
              <w:sz w:val="32"/>
              <w:szCs w:val="32"/>
            </w:rPr>
            <w:fldChar w:fldCharType="separate"/>
          </w:r>
          <w:r>
            <w:rPr>
              <w:rFonts w:hint="eastAsia" w:ascii="楷体_GB2312" w:hAnsi="楷体_GB2312" w:eastAsia="楷体_GB2312" w:cs="楷体_GB2312"/>
              <w:bCs/>
              <w:spacing w:val="8"/>
              <w:sz w:val="32"/>
              <w:szCs w:val="32"/>
              <w:lang w:val="en-US" w:eastAsia="zh-CN"/>
            </w:rPr>
            <w:t>（二）</w:t>
          </w:r>
          <w:r>
            <w:rPr>
              <w:rFonts w:hint="default" w:ascii="楷体_GB2312" w:hAnsi="楷体_GB2312" w:eastAsia="楷体_GB2312" w:cs="楷体_GB2312"/>
              <w:bCs/>
              <w:spacing w:val="8"/>
              <w:sz w:val="32"/>
              <w:szCs w:val="32"/>
              <w:lang w:val="en-US" w:eastAsia="zh-CN"/>
            </w:rPr>
            <w:t>标准规范​</w:t>
          </w:r>
          <w:r>
            <w:rPr>
              <w:sz w:val="32"/>
              <w:szCs w:val="32"/>
            </w:rPr>
            <w:tab/>
          </w:r>
          <w:r>
            <w:rPr>
              <w:sz w:val="32"/>
              <w:szCs w:val="32"/>
            </w:rPr>
            <w:fldChar w:fldCharType="begin"/>
          </w:r>
          <w:r>
            <w:rPr>
              <w:sz w:val="32"/>
              <w:szCs w:val="32"/>
            </w:rPr>
            <w:instrText xml:space="preserve"> PAGEREF _Toc7096 \h </w:instrText>
          </w:r>
          <w:r>
            <w:rPr>
              <w:sz w:val="32"/>
              <w:szCs w:val="32"/>
            </w:rPr>
            <w:fldChar w:fldCharType="separate"/>
          </w:r>
          <w:r>
            <w:rPr>
              <w:sz w:val="32"/>
              <w:szCs w:val="32"/>
            </w:rPr>
            <w:t>- 3 -</w:t>
          </w:r>
          <w:r>
            <w:rPr>
              <w:sz w:val="32"/>
              <w:szCs w:val="32"/>
            </w:rPr>
            <w:fldChar w:fldCharType="end"/>
          </w:r>
          <w:r>
            <w:rPr>
              <w:sz w:val="32"/>
              <w:szCs w:val="32"/>
            </w:rPr>
            <w:fldChar w:fldCharType="end"/>
          </w:r>
        </w:p>
        <w:p w14:paraId="5C96A19C">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_Toc15680 </w:instrText>
          </w:r>
          <w:r>
            <w:rPr>
              <w:sz w:val="32"/>
              <w:szCs w:val="32"/>
            </w:rPr>
            <w:fldChar w:fldCharType="separate"/>
          </w:r>
          <w:r>
            <w:rPr>
              <w:rFonts w:hint="eastAsia" w:ascii="楷体_GB2312" w:hAnsi="楷体_GB2312" w:eastAsia="楷体_GB2312" w:cs="楷体_GB2312"/>
              <w:bCs/>
              <w:spacing w:val="8"/>
              <w:sz w:val="32"/>
              <w:szCs w:val="32"/>
              <w:lang w:val="en-US" w:eastAsia="zh-CN"/>
            </w:rPr>
            <w:t>（三）</w:t>
          </w:r>
          <w:r>
            <w:rPr>
              <w:rFonts w:hint="default" w:ascii="楷体_GB2312" w:hAnsi="楷体_GB2312" w:eastAsia="楷体_GB2312" w:cs="楷体_GB2312"/>
              <w:bCs/>
              <w:spacing w:val="8"/>
              <w:sz w:val="32"/>
              <w:szCs w:val="32"/>
              <w:lang w:val="en-US" w:eastAsia="zh-CN"/>
            </w:rPr>
            <w:t>政策文件及相关规划​</w:t>
          </w:r>
          <w:r>
            <w:rPr>
              <w:sz w:val="32"/>
              <w:szCs w:val="32"/>
            </w:rPr>
            <w:tab/>
          </w:r>
          <w:r>
            <w:rPr>
              <w:sz w:val="32"/>
              <w:szCs w:val="32"/>
            </w:rPr>
            <w:fldChar w:fldCharType="begin"/>
          </w:r>
          <w:r>
            <w:rPr>
              <w:sz w:val="32"/>
              <w:szCs w:val="32"/>
            </w:rPr>
            <w:instrText xml:space="preserve"> PAGEREF _Toc15680 \h </w:instrText>
          </w:r>
          <w:r>
            <w:rPr>
              <w:sz w:val="32"/>
              <w:szCs w:val="32"/>
            </w:rPr>
            <w:fldChar w:fldCharType="separate"/>
          </w:r>
          <w:r>
            <w:rPr>
              <w:sz w:val="32"/>
              <w:szCs w:val="32"/>
            </w:rPr>
            <w:t>- 3 -</w:t>
          </w:r>
          <w:r>
            <w:rPr>
              <w:sz w:val="32"/>
              <w:szCs w:val="32"/>
            </w:rPr>
            <w:fldChar w:fldCharType="end"/>
          </w:r>
          <w:r>
            <w:rPr>
              <w:sz w:val="32"/>
              <w:szCs w:val="32"/>
            </w:rPr>
            <w:fldChar w:fldCharType="end"/>
          </w:r>
        </w:p>
        <w:p w14:paraId="692AAA0C">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_Toc3804 </w:instrText>
          </w:r>
          <w:r>
            <w:rPr>
              <w:sz w:val="32"/>
              <w:szCs w:val="32"/>
            </w:rPr>
            <w:fldChar w:fldCharType="separate"/>
          </w:r>
          <w:r>
            <w:rPr>
              <w:rFonts w:hint="eastAsia" w:ascii="黑体" w:hAnsi="黑体" w:eastAsia="黑体" w:cs="黑体"/>
              <w:bCs w:val="0"/>
              <w:spacing w:val="2"/>
              <w:sz w:val="32"/>
              <w:szCs w:val="32"/>
            </w:rPr>
            <w:t>五</w:t>
          </w:r>
          <w:r>
            <w:rPr>
              <w:rFonts w:hint="eastAsia" w:ascii="黑体" w:hAnsi="黑体" w:eastAsia="黑体" w:cs="黑体"/>
              <w:bCs w:val="0"/>
              <w:spacing w:val="2"/>
              <w:sz w:val="32"/>
              <w:szCs w:val="32"/>
              <w:lang w:eastAsia="zh-CN"/>
            </w:rPr>
            <w:t>、</w:t>
          </w:r>
          <w:r>
            <w:rPr>
              <w:rFonts w:hint="eastAsia" w:ascii="黑体" w:hAnsi="黑体" w:eastAsia="黑体" w:cs="黑体"/>
              <w:bCs w:val="0"/>
              <w:spacing w:val="2"/>
              <w:sz w:val="32"/>
              <w:szCs w:val="32"/>
            </w:rPr>
            <w:t>规划范围</w:t>
          </w:r>
          <w:r>
            <w:rPr>
              <w:sz w:val="32"/>
              <w:szCs w:val="32"/>
            </w:rPr>
            <w:tab/>
          </w:r>
          <w:r>
            <w:rPr>
              <w:sz w:val="32"/>
              <w:szCs w:val="32"/>
            </w:rPr>
            <w:fldChar w:fldCharType="begin"/>
          </w:r>
          <w:r>
            <w:rPr>
              <w:sz w:val="32"/>
              <w:szCs w:val="32"/>
            </w:rPr>
            <w:instrText xml:space="preserve"> PAGEREF _Toc3804 \h </w:instrText>
          </w:r>
          <w:r>
            <w:rPr>
              <w:sz w:val="32"/>
              <w:szCs w:val="32"/>
            </w:rPr>
            <w:fldChar w:fldCharType="separate"/>
          </w:r>
          <w:r>
            <w:rPr>
              <w:sz w:val="32"/>
              <w:szCs w:val="32"/>
            </w:rPr>
            <w:t>- 4 -</w:t>
          </w:r>
          <w:r>
            <w:rPr>
              <w:sz w:val="32"/>
              <w:szCs w:val="32"/>
            </w:rPr>
            <w:fldChar w:fldCharType="end"/>
          </w:r>
          <w:r>
            <w:rPr>
              <w:sz w:val="32"/>
              <w:szCs w:val="32"/>
            </w:rPr>
            <w:fldChar w:fldCharType="end"/>
          </w:r>
        </w:p>
        <w:p w14:paraId="5C2B5F4F">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_Toc26370 </w:instrText>
          </w:r>
          <w:r>
            <w:rPr>
              <w:sz w:val="32"/>
              <w:szCs w:val="32"/>
            </w:rPr>
            <w:fldChar w:fldCharType="separate"/>
          </w:r>
          <w:r>
            <w:rPr>
              <w:rFonts w:hint="eastAsia" w:ascii="黑体" w:hAnsi="黑体" w:eastAsia="黑体" w:cs="黑体"/>
              <w:bCs w:val="0"/>
              <w:spacing w:val="2"/>
              <w:sz w:val="32"/>
              <w:szCs w:val="32"/>
            </w:rPr>
            <w:t>六</w:t>
          </w:r>
          <w:r>
            <w:rPr>
              <w:rFonts w:hint="eastAsia" w:ascii="黑体" w:hAnsi="黑体" w:eastAsia="黑体" w:cs="黑体"/>
              <w:bCs w:val="0"/>
              <w:spacing w:val="2"/>
              <w:sz w:val="32"/>
              <w:szCs w:val="32"/>
              <w:lang w:eastAsia="zh-CN"/>
            </w:rPr>
            <w:t>、</w:t>
          </w:r>
          <w:r>
            <w:rPr>
              <w:rFonts w:hint="eastAsia" w:ascii="黑体" w:hAnsi="黑体" w:eastAsia="黑体" w:cs="黑体"/>
              <w:bCs w:val="0"/>
              <w:spacing w:val="2"/>
              <w:sz w:val="32"/>
              <w:szCs w:val="32"/>
            </w:rPr>
            <w:t>规划对象</w:t>
          </w:r>
          <w:r>
            <w:rPr>
              <w:sz w:val="32"/>
              <w:szCs w:val="32"/>
            </w:rPr>
            <w:tab/>
          </w:r>
          <w:r>
            <w:rPr>
              <w:sz w:val="32"/>
              <w:szCs w:val="32"/>
            </w:rPr>
            <w:fldChar w:fldCharType="begin"/>
          </w:r>
          <w:r>
            <w:rPr>
              <w:sz w:val="32"/>
              <w:szCs w:val="32"/>
            </w:rPr>
            <w:instrText xml:space="preserve"> PAGEREF _Toc26370 \h </w:instrText>
          </w:r>
          <w:r>
            <w:rPr>
              <w:sz w:val="32"/>
              <w:szCs w:val="32"/>
            </w:rPr>
            <w:fldChar w:fldCharType="separate"/>
          </w:r>
          <w:r>
            <w:rPr>
              <w:sz w:val="32"/>
              <w:szCs w:val="32"/>
            </w:rPr>
            <w:t>- 4 -</w:t>
          </w:r>
          <w:r>
            <w:rPr>
              <w:sz w:val="32"/>
              <w:szCs w:val="32"/>
            </w:rPr>
            <w:fldChar w:fldCharType="end"/>
          </w:r>
          <w:r>
            <w:rPr>
              <w:sz w:val="32"/>
              <w:szCs w:val="32"/>
            </w:rPr>
            <w:fldChar w:fldCharType="end"/>
          </w:r>
        </w:p>
        <w:p w14:paraId="3932F4BE">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_Toc16465 </w:instrText>
          </w:r>
          <w:r>
            <w:rPr>
              <w:sz w:val="32"/>
              <w:szCs w:val="32"/>
            </w:rPr>
            <w:fldChar w:fldCharType="separate"/>
          </w:r>
          <w:r>
            <w:rPr>
              <w:rFonts w:hint="eastAsia" w:ascii="黑体" w:hAnsi="黑体" w:eastAsia="黑体" w:cs="黑体"/>
              <w:bCs w:val="0"/>
              <w:spacing w:val="2"/>
              <w:sz w:val="32"/>
              <w:szCs w:val="32"/>
            </w:rPr>
            <w:t>七</w:t>
          </w:r>
          <w:r>
            <w:rPr>
              <w:rFonts w:hint="eastAsia" w:ascii="黑体" w:hAnsi="黑体" w:eastAsia="黑体" w:cs="黑体"/>
              <w:bCs w:val="0"/>
              <w:spacing w:val="2"/>
              <w:sz w:val="32"/>
              <w:szCs w:val="32"/>
              <w:lang w:eastAsia="zh-CN"/>
            </w:rPr>
            <w:t>、</w:t>
          </w:r>
          <w:r>
            <w:rPr>
              <w:rFonts w:hint="eastAsia" w:ascii="黑体" w:hAnsi="黑体" w:eastAsia="黑体" w:cs="黑体"/>
              <w:bCs w:val="0"/>
              <w:spacing w:val="2"/>
              <w:sz w:val="32"/>
              <w:szCs w:val="32"/>
            </w:rPr>
            <w:t>规划期限</w:t>
          </w:r>
          <w:r>
            <w:rPr>
              <w:sz w:val="32"/>
              <w:szCs w:val="32"/>
            </w:rPr>
            <w:tab/>
          </w:r>
          <w:r>
            <w:rPr>
              <w:sz w:val="32"/>
              <w:szCs w:val="32"/>
            </w:rPr>
            <w:fldChar w:fldCharType="begin"/>
          </w:r>
          <w:r>
            <w:rPr>
              <w:sz w:val="32"/>
              <w:szCs w:val="32"/>
            </w:rPr>
            <w:instrText xml:space="preserve"> PAGEREF _Toc16465 \h </w:instrText>
          </w:r>
          <w:r>
            <w:rPr>
              <w:sz w:val="32"/>
              <w:szCs w:val="32"/>
            </w:rPr>
            <w:fldChar w:fldCharType="separate"/>
          </w:r>
          <w:r>
            <w:rPr>
              <w:sz w:val="32"/>
              <w:szCs w:val="32"/>
            </w:rPr>
            <w:t>- 4 -</w:t>
          </w:r>
          <w:r>
            <w:rPr>
              <w:sz w:val="32"/>
              <w:szCs w:val="32"/>
            </w:rPr>
            <w:fldChar w:fldCharType="end"/>
          </w:r>
          <w:r>
            <w:rPr>
              <w:sz w:val="32"/>
              <w:szCs w:val="32"/>
            </w:rPr>
            <w:fldChar w:fldCharType="end"/>
          </w:r>
        </w:p>
        <w:p w14:paraId="7CFDC4CB">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p>
        <w:p w14:paraId="301240D0">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_Toc29968 </w:instrText>
          </w:r>
          <w:r>
            <w:rPr>
              <w:sz w:val="32"/>
              <w:szCs w:val="32"/>
            </w:rPr>
            <w:fldChar w:fldCharType="separate"/>
          </w:r>
          <w:r>
            <w:rPr>
              <w:rFonts w:hint="eastAsia" w:ascii="黑体" w:hAnsi="黑体" w:eastAsia="黑体" w:cs="黑体"/>
              <w:spacing w:val="7"/>
              <w:sz w:val="32"/>
              <w:szCs w:val="32"/>
              <w:lang w:val="en-US" w:eastAsia="zh-CN"/>
            </w:rPr>
            <w:t>第二章 现状分析与规模预测</w:t>
          </w:r>
          <w:r>
            <w:rPr>
              <w:sz w:val="32"/>
              <w:szCs w:val="32"/>
            </w:rPr>
            <w:tab/>
          </w:r>
          <w:r>
            <w:rPr>
              <w:sz w:val="32"/>
              <w:szCs w:val="32"/>
            </w:rPr>
            <w:fldChar w:fldCharType="begin"/>
          </w:r>
          <w:r>
            <w:rPr>
              <w:sz w:val="32"/>
              <w:szCs w:val="32"/>
            </w:rPr>
            <w:instrText xml:space="preserve"> PAGEREF _Toc29968 \h </w:instrText>
          </w:r>
          <w:r>
            <w:rPr>
              <w:sz w:val="32"/>
              <w:szCs w:val="32"/>
            </w:rPr>
            <w:fldChar w:fldCharType="separate"/>
          </w:r>
          <w:r>
            <w:rPr>
              <w:sz w:val="32"/>
              <w:szCs w:val="32"/>
            </w:rPr>
            <w:t>- 5 -</w:t>
          </w:r>
          <w:r>
            <w:rPr>
              <w:sz w:val="32"/>
              <w:szCs w:val="32"/>
            </w:rPr>
            <w:fldChar w:fldCharType="end"/>
          </w:r>
          <w:r>
            <w:rPr>
              <w:sz w:val="32"/>
              <w:szCs w:val="32"/>
            </w:rPr>
            <w:fldChar w:fldCharType="end"/>
          </w:r>
        </w:p>
        <w:p w14:paraId="48906C3F">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_Toc8956 </w:instrText>
          </w:r>
          <w:r>
            <w:rPr>
              <w:sz w:val="32"/>
              <w:szCs w:val="32"/>
            </w:rPr>
            <w:fldChar w:fldCharType="separate"/>
          </w:r>
          <w:r>
            <w:rPr>
              <w:rFonts w:hint="eastAsia" w:ascii="黑体" w:hAnsi="黑体" w:eastAsia="黑体" w:cs="黑体"/>
              <w:bCs w:val="0"/>
              <w:spacing w:val="2"/>
              <w:sz w:val="32"/>
              <w:szCs w:val="32"/>
              <w:lang w:val="en-US" w:eastAsia="zh-CN"/>
            </w:rPr>
            <w:t>一、现状分析​</w:t>
          </w:r>
          <w:r>
            <w:rPr>
              <w:sz w:val="32"/>
              <w:szCs w:val="32"/>
            </w:rPr>
            <w:tab/>
          </w:r>
          <w:r>
            <w:rPr>
              <w:sz w:val="32"/>
              <w:szCs w:val="32"/>
            </w:rPr>
            <w:fldChar w:fldCharType="begin"/>
          </w:r>
          <w:r>
            <w:rPr>
              <w:sz w:val="32"/>
              <w:szCs w:val="32"/>
            </w:rPr>
            <w:instrText xml:space="preserve"> PAGEREF _Toc8956 \h </w:instrText>
          </w:r>
          <w:r>
            <w:rPr>
              <w:sz w:val="32"/>
              <w:szCs w:val="32"/>
            </w:rPr>
            <w:fldChar w:fldCharType="separate"/>
          </w:r>
          <w:r>
            <w:rPr>
              <w:sz w:val="32"/>
              <w:szCs w:val="32"/>
            </w:rPr>
            <w:t>- 5 -</w:t>
          </w:r>
          <w:r>
            <w:rPr>
              <w:sz w:val="32"/>
              <w:szCs w:val="32"/>
            </w:rPr>
            <w:fldChar w:fldCharType="end"/>
          </w:r>
          <w:r>
            <w:rPr>
              <w:sz w:val="32"/>
              <w:szCs w:val="32"/>
            </w:rPr>
            <w:fldChar w:fldCharType="end"/>
          </w:r>
        </w:p>
        <w:p w14:paraId="0A0D8643">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_Toc18996 </w:instrText>
          </w:r>
          <w:r>
            <w:rPr>
              <w:sz w:val="32"/>
              <w:szCs w:val="32"/>
            </w:rPr>
            <w:fldChar w:fldCharType="separate"/>
          </w:r>
          <w:r>
            <w:rPr>
              <w:rFonts w:hint="eastAsia" w:ascii="楷体_GB2312" w:hAnsi="楷体_GB2312" w:eastAsia="楷体_GB2312" w:cs="楷体_GB2312"/>
              <w:bCs/>
              <w:spacing w:val="8"/>
              <w:sz w:val="32"/>
              <w:szCs w:val="32"/>
              <w:lang w:eastAsia="zh-CN"/>
            </w:rPr>
            <w:t>（</w:t>
          </w:r>
          <w:r>
            <w:rPr>
              <w:rFonts w:hint="eastAsia" w:ascii="楷体_GB2312" w:hAnsi="楷体_GB2312" w:eastAsia="楷体_GB2312" w:cs="楷体_GB2312"/>
              <w:bCs/>
              <w:spacing w:val="8"/>
              <w:sz w:val="32"/>
              <w:szCs w:val="32"/>
              <w:lang w:val="en-US" w:eastAsia="zh-CN"/>
            </w:rPr>
            <w:t>一）产生现状</w:t>
          </w:r>
          <w:r>
            <w:rPr>
              <w:rFonts w:hint="eastAsia" w:ascii="仿宋_GB2312" w:hAnsi="仿宋_GB2312" w:eastAsia="仿宋_GB2312" w:cs="仿宋_GB2312"/>
              <w:bCs w:val="0"/>
              <w:spacing w:val="8"/>
              <w:sz w:val="32"/>
              <w:szCs w:val="32"/>
              <w:lang w:val="en-US" w:eastAsia="zh-CN"/>
            </w:rPr>
            <w:t>​</w:t>
          </w:r>
          <w:r>
            <w:rPr>
              <w:sz w:val="32"/>
              <w:szCs w:val="32"/>
            </w:rPr>
            <w:tab/>
          </w:r>
          <w:r>
            <w:rPr>
              <w:sz w:val="32"/>
              <w:szCs w:val="32"/>
            </w:rPr>
            <w:fldChar w:fldCharType="begin"/>
          </w:r>
          <w:r>
            <w:rPr>
              <w:sz w:val="32"/>
              <w:szCs w:val="32"/>
            </w:rPr>
            <w:instrText xml:space="preserve"> PAGEREF _Toc18996 \h </w:instrText>
          </w:r>
          <w:r>
            <w:rPr>
              <w:sz w:val="32"/>
              <w:szCs w:val="32"/>
            </w:rPr>
            <w:fldChar w:fldCharType="separate"/>
          </w:r>
          <w:r>
            <w:rPr>
              <w:sz w:val="32"/>
              <w:szCs w:val="32"/>
            </w:rPr>
            <w:t>- 5 -</w:t>
          </w:r>
          <w:r>
            <w:rPr>
              <w:sz w:val="32"/>
              <w:szCs w:val="32"/>
            </w:rPr>
            <w:fldChar w:fldCharType="end"/>
          </w:r>
          <w:r>
            <w:rPr>
              <w:sz w:val="32"/>
              <w:szCs w:val="32"/>
            </w:rPr>
            <w:fldChar w:fldCharType="end"/>
          </w:r>
        </w:p>
        <w:p w14:paraId="5E92216C">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_Toc16710 </w:instrText>
          </w:r>
          <w:r>
            <w:rPr>
              <w:sz w:val="32"/>
              <w:szCs w:val="32"/>
            </w:rPr>
            <w:fldChar w:fldCharType="separate"/>
          </w:r>
          <w:r>
            <w:rPr>
              <w:rFonts w:hint="eastAsia" w:ascii="楷体_GB2312" w:hAnsi="楷体_GB2312" w:eastAsia="楷体_GB2312" w:cs="楷体_GB2312"/>
              <w:bCs/>
              <w:spacing w:val="8"/>
              <w:sz w:val="32"/>
              <w:szCs w:val="32"/>
              <w:lang w:eastAsia="zh-CN"/>
            </w:rPr>
            <w:t>（</w:t>
          </w:r>
          <w:r>
            <w:rPr>
              <w:rFonts w:hint="eastAsia" w:ascii="楷体_GB2312" w:hAnsi="楷体_GB2312" w:eastAsia="楷体_GB2312" w:cs="楷体_GB2312"/>
              <w:bCs/>
              <w:spacing w:val="8"/>
              <w:sz w:val="32"/>
              <w:szCs w:val="32"/>
              <w:lang w:val="en-US" w:eastAsia="zh-CN"/>
            </w:rPr>
            <w:t>二）处理设施现状</w:t>
          </w:r>
          <w:r>
            <w:rPr>
              <w:rFonts w:hint="eastAsia" w:ascii="仿宋_GB2312" w:hAnsi="仿宋_GB2312" w:eastAsia="仿宋_GB2312" w:cs="仿宋_GB2312"/>
              <w:bCs w:val="0"/>
              <w:spacing w:val="8"/>
              <w:sz w:val="32"/>
              <w:szCs w:val="32"/>
              <w:lang w:val="en-US" w:eastAsia="zh-CN"/>
            </w:rPr>
            <w:t>​</w:t>
          </w:r>
          <w:r>
            <w:rPr>
              <w:sz w:val="32"/>
              <w:szCs w:val="32"/>
            </w:rPr>
            <w:tab/>
          </w:r>
          <w:r>
            <w:rPr>
              <w:sz w:val="32"/>
              <w:szCs w:val="32"/>
            </w:rPr>
            <w:fldChar w:fldCharType="begin"/>
          </w:r>
          <w:r>
            <w:rPr>
              <w:sz w:val="32"/>
              <w:szCs w:val="32"/>
            </w:rPr>
            <w:instrText xml:space="preserve"> PAGEREF _Toc16710 \h </w:instrText>
          </w:r>
          <w:r>
            <w:rPr>
              <w:sz w:val="32"/>
              <w:szCs w:val="32"/>
            </w:rPr>
            <w:fldChar w:fldCharType="separate"/>
          </w:r>
          <w:r>
            <w:rPr>
              <w:sz w:val="32"/>
              <w:szCs w:val="32"/>
            </w:rPr>
            <w:t>- 5 -</w:t>
          </w:r>
          <w:r>
            <w:rPr>
              <w:sz w:val="32"/>
              <w:szCs w:val="32"/>
            </w:rPr>
            <w:fldChar w:fldCharType="end"/>
          </w:r>
          <w:r>
            <w:rPr>
              <w:sz w:val="32"/>
              <w:szCs w:val="32"/>
            </w:rPr>
            <w:fldChar w:fldCharType="end"/>
          </w:r>
        </w:p>
        <w:p w14:paraId="2BA5C614">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_Toc22223 </w:instrText>
          </w:r>
          <w:r>
            <w:rPr>
              <w:sz w:val="32"/>
              <w:szCs w:val="32"/>
            </w:rPr>
            <w:fldChar w:fldCharType="separate"/>
          </w:r>
          <w:r>
            <w:rPr>
              <w:rFonts w:hint="eastAsia" w:ascii="楷体_GB2312" w:hAnsi="楷体_GB2312" w:eastAsia="楷体_GB2312" w:cs="楷体_GB2312"/>
              <w:bCs/>
              <w:spacing w:val="8"/>
              <w:sz w:val="32"/>
              <w:szCs w:val="32"/>
              <w:lang w:eastAsia="zh-CN"/>
            </w:rPr>
            <w:t>（</w:t>
          </w:r>
          <w:r>
            <w:rPr>
              <w:rFonts w:hint="eastAsia" w:ascii="楷体_GB2312" w:hAnsi="楷体_GB2312" w:eastAsia="楷体_GB2312" w:cs="楷体_GB2312"/>
              <w:bCs/>
              <w:spacing w:val="8"/>
              <w:sz w:val="32"/>
              <w:szCs w:val="32"/>
              <w:lang w:val="en-US" w:eastAsia="zh-CN"/>
            </w:rPr>
            <w:t>三）管理现状</w:t>
          </w:r>
          <w:r>
            <w:rPr>
              <w:rFonts w:hint="eastAsia" w:ascii="仿宋_GB2312" w:hAnsi="仿宋_GB2312" w:eastAsia="仿宋_GB2312" w:cs="仿宋_GB2312"/>
              <w:bCs w:val="0"/>
              <w:spacing w:val="8"/>
              <w:sz w:val="32"/>
              <w:szCs w:val="32"/>
              <w:lang w:val="en-US" w:eastAsia="zh-CN"/>
            </w:rPr>
            <w:t>​</w:t>
          </w:r>
          <w:r>
            <w:rPr>
              <w:sz w:val="32"/>
              <w:szCs w:val="32"/>
            </w:rPr>
            <w:tab/>
          </w:r>
          <w:r>
            <w:rPr>
              <w:sz w:val="32"/>
              <w:szCs w:val="32"/>
            </w:rPr>
            <w:fldChar w:fldCharType="begin"/>
          </w:r>
          <w:r>
            <w:rPr>
              <w:sz w:val="32"/>
              <w:szCs w:val="32"/>
            </w:rPr>
            <w:instrText xml:space="preserve"> PAGEREF _Toc22223 \h </w:instrText>
          </w:r>
          <w:r>
            <w:rPr>
              <w:sz w:val="32"/>
              <w:szCs w:val="32"/>
            </w:rPr>
            <w:fldChar w:fldCharType="separate"/>
          </w:r>
          <w:r>
            <w:rPr>
              <w:sz w:val="32"/>
              <w:szCs w:val="32"/>
            </w:rPr>
            <w:t>- 5 -</w:t>
          </w:r>
          <w:r>
            <w:rPr>
              <w:sz w:val="32"/>
              <w:szCs w:val="32"/>
            </w:rPr>
            <w:fldChar w:fldCharType="end"/>
          </w:r>
          <w:r>
            <w:rPr>
              <w:sz w:val="32"/>
              <w:szCs w:val="32"/>
            </w:rPr>
            <w:fldChar w:fldCharType="end"/>
          </w:r>
        </w:p>
        <w:p w14:paraId="4807CBCC">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_Toc9004 </w:instrText>
          </w:r>
          <w:r>
            <w:rPr>
              <w:sz w:val="32"/>
              <w:szCs w:val="32"/>
            </w:rPr>
            <w:fldChar w:fldCharType="separate"/>
          </w:r>
          <w:r>
            <w:rPr>
              <w:rFonts w:hint="eastAsia" w:ascii="黑体" w:hAnsi="黑体" w:eastAsia="黑体" w:cs="黑体"/>
              <w:bCs w:val="0"/>
              <w:spacing w:val="2"/>
              <w:sz w:val="32"/>
              <w:szCs w:val="32"/>
              <w:lang w:val="en-US" w:eastAsia="zh-CN"/>
            </w:rPr>
            <w:t>二、现状综合分析</w:t>
          </w:r>
          <w:r>
            <w:rPr>
              <w:sz w:val="32"/>
              <w:szCs w:val="32"/>
            </w:rPr>
            <w:tab/>
          </w:r>
          <w:r>
            <w:rPr>
              <w:sz w:val="32"/>
              <w:szCs w:val="32"/>
            </w:rPr>
            <w:fldChar w:fldCharType="begin"/>
          </w:r>
          <w:r>
            <w:rPr>
              <w:sz w:val="32"/>
              <w:szCs w:val="32"/>
            </w:rPr>
            <w:instrText xml:space="preserve"> PAGEREF _Toc9004 \h </w:instrText>
          </w:r>
          <w:r>
            <w:rPr>
              <w:sz w:val="32"/>
              <w:szCs w:val="32"/>
            </w:rPr>
            <w:fldChar w:fldCharType="separate"/>
          </w:r>
          <w:r>
            <w:rPr>
              <w:sz w:val="32"/>
              <w:szCs w:val="32"/>
            </w:rPr>
            <w:t>- 6 -</w:t>
          </w:r>
          <w:r>
            <w:rPr>
              <w:sz w:val="32"/>
              <w:szCs w:val="32"/>
            </w:rPr>
            <w:fldChar w:fldCharType="end"/>
          </w:r>
          <w:r>
            <w:rPr>
              <w:sz w:val="32"/>
              <w:szCs w:val="32"/>
            </w:rPr>
            <w:fldChar w:fldCharType="end"/>
          </w:r>
        </w:p>
        <w:p w14:paraId="1508B569">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_Toc24478 </w:instrText>
          </w:r>
          <w:r>
            <w:rPr>
              <w:sz w:val="32"/>
              <w:szCs w:val="32"/>
            </w:rPr>
            <w:fldChar w:fldCharType="separate"/>
          </w:r>
          <w:r>
            <w:rPr>
              <w:rFonts w:hint="eastAsia" w:ascii="楷体_GB2312" w:hAnsi="楷体_GB2312" w:eastAsia="楷体_GB2312" w:cs="楷体_GB2312"/>
              <w:bCs/>
              <w:spacing w:val="8"/>
              <w:sz w:val="32"/>
              <w:szCs w:val="32"/>
              <w:lang w:val="en-US" w:eastAsia="zh-CN"/>
            </w:rPr>
            <w:t>（一）治理基础与优势</w:t>
          </w:r>
          <w:r>
            <w:rPr>
              <w:sz w:val="32"/>
              <w:szCs w:val="32"/>
            </w:rPr>
            <w:tab/>
          </w:r>
          <w:r>
            <w:rPr>
              <w:sz w:val="32"/>
              <w:szCs w:val="32"/>
            </w:rPr>
            <w:fldChar w:fldCharType="begin"/>
          </w:r>
          <w:r>
            <w:rPr>
              <w:sz w:val="32"/>
              <w:szCs w:val="32"/>
            </w:rPr>
            <w:instrText xml:space="preserve"> PAGEREF _Toc24478 \h </w:instrText>
          </w:r>
          <w:r>
            <w:rPr>
              <w:sz w:val="32"/>
              <w:szCs w:val="32"/>
            </w:rPr>
            <w:fldChar w:fldCharType="separate"/>
          </w:r>
          <w:r>
            <w:rPr>
              <w:sz w:val="32"/>
              <w:szCs w:val="32"/>
            </w:rPr>
            <w:t>- 6 -</w:t>
          </w:r>
          <w:r>
            <w:rPr>
              <w:sz w:val="32"/>
              <w:szCs w:val="32"/>
            </w:rPr>
            <w:fldChar w:fldCharType="end"/>
          </w:r>
          <w:r>
            <w:rPr>
              <w:sz w:val="32"/>
              <w:szCs w:val="32"/>
            </w:rPr>
            <w:fldChar w:fldCharType="end"/>
          </w:r>
        </w:p>
        <w:p w14:paraId="0887DE69">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_Toc11353 </w:instrText>
          </w:r>
          <w:r>
            <w:rPr>
              <w:sz w:val="32"/>
              <w:szCs w:val="32"/>
            </w:rPr>
            <w:fldChar w:fldCharType="separate"/>
          </w:r>
          <w:r>
            <w:rPr>
              <w:rFonts w:hint="eastAsia" w:ascii="楷体_GB2312" w:hAnsi="楷体_GB2312" w:eastAsia="楷体_GB2312" w:cs="楷体_GB2312"/>
              <w:bCs/>
              <w:spacing w:val="8"/>
              <w:sz w:val="32"/>
              <w:szCs w:val="32"/>
              <w:lang w:val="en-US" w:eastAsia="zh-CN"/>
            </w:rPr>
            <w:t>（二）突出短板与问题​</w:t>
          </w:r>
          <w:r>
            <w:rPr>
              <w:sz w:val="32"/>
              <w:szCs w:val="32"/>
            </w:rPr>
            <w:tab/>
          </w:r>
          <w:r>
            <w:rPr>
              <w:sz w:val="32"/>
              <w:szCs w:val="32"/>
            </w:rPr>
            <w:fldChar w:fldCharType="begin"/>
          </w:r>
          <w:r>
            <w:rPr>
              <w:sz w:val="32"/>
              <w:szCs w:val="32"/>
            </w:rPr>
            <w:instrText xml:space="preserve"> PAGEREF _Toc11353 \h </w:instrText>
          </w:r>
          <w:r>
            <w:rPr>
              <w:sz w:val="32"/>
              <w:szCs w:val="32"/>
            </w:rPr>
            <w:fldChar w:fldCharType="separate"/>
          </w:r>
          <w:r>
            <w:rPr>
              <w:sz w:val="32"/>
              <w:szCs w:val="32"/>
            </w:rPr>
            <w:t>- 6 -</w:t>
          </w:r>
          <w:r>
            <w:rPr>
              <w:sz w:val="32"/>
              <w:szCs w:val="32"/>
            </w:rPr>
            <w:fldChar w:fldCharType="end"/>
          </w:r>
          <w:r>
            <w:rPr>
              <w:sz w:val="32"/>
              <w:szCs w:val="32"/>
            </w:rPr>
            <w:fldChar w:fldCharType="end"/>
          </w:r>
        </w:p>
        <w:p w14:paraId="1D1162F0">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_Toc19426 </w:instrText>
          </w:r>
          <w:r>
            <w:rPr>
              <w:sz w:val="32"/>
              <w:szCs w:val="32"/>
            </w:rPr>
            <w:fldChar w:fldCharType="separate"/>
          </w:r>
          <w:r>
            <w:rPr>
              <w:rFonts w:hint="eastAsia" w:ascii="楷体_GB2312" w:hAnsi="楷体_GB2312" w:eastAsia="楷体_GB2312" w:cs="楷体_GB2312"/>
              <w:bCs/>
              <w:spacing w:val="8"/>
              <w:sz w:val="32"/>
              <w:szCs w:val="32"/>
              <w:lang w:val="en-US" w:eastAsia="zh-CN"/>
            </w:rPr>
            <w:t>（三）面临的挑战​</w:t>
          </w:r>
          <w:r>
            <w:rPr>
              <w:sz w:val="32"/>
              <w:szCs w:val="32"/>
            </w:rPr>
            <w:tab/>
          </w:r>
          <w:r>
            <w:rPr>
              <w:sz w:val="32"/>
              <w:szCs w:val="32"/>
            </w:rPr>
            <w:fldChar w:fldCharType="begin"/>
          </w:r>
          <w:r>
            <w:rPr>
              <w:sz w:val="32"/>
              <w:szCs w:val="32"/>
            </w:rPr>
            <w:instrText xml:space="preserve"> PAGEREF _Toc19426 \h </w:instrText>
          </w:r>
          <w:r>
            <w:rPr>
              <w:sz w:val="32"/>
              <w:szCs w:val="32"/>
            </w:rPr>
            <w:fldChar w:fldCharType="separate"/>
          </w:r>
          <w:r>
            <w:rPr>
              <w:sz w:val="32"/>
              <w:szCs w:val="32"/>
            </w:rPr>
            <w:t>- 6 -</w:t>
          </w:r>
          <w:r>
            <w:rPr>
              <w:sz w:val="32"/>
              <w:szCs w:val="32"/>
            </w:rPr>
            <w:fldChar w:fldCharType="end"/>
          </w:r>
          <w:r>
            <w:rPr>
              <w:sz w:val="32"/>
              <w:szCs w:val="32"/>
            </w:rPr>
            <w:fldChar w:fldCharType="end"/>
          </w:r>
        </w:p>
        <w:p w14:paraId="5AA7034B">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_Toc30794 </w:instrText>
          </w:r>
          <w:r>
            <w:rPr>
              <w:sz w:val="32"/>
              <w:szCs w:val="32"/>
            </w:rPr>
            <w:fldChar w:fldCharType="separate"/>
          </w:r>
          <w:r>
            <w:rPr>
              <w:rFonts w:hint="eastAsia" w:ascii="楷体_GB2312" w:hAnsi="楷体_GB2312" w:eastAsia="楷体_GB2312" w:cs="楷体_GB2312"/>
              <w:bCs/>
              <w:spacing w:val="8"/>
              <w:sz w:val="32"/>
              <w:szCs w:val="32"/>
              <w:lang w:val="en-US" w:eastAsia="zh-CN"/>
            </w:rPr>
            <w:t>（四）潜在的发展机遇​</w:t>
          </w:r>
          <w:r>
            <w:rPr>
              <w:sz w:val="32"/>
              <w:szCs w:val="32"/>
            </w:rPr>
            <w:tab/>
          </w:r>
          <w:r>
            <w:rPr>
              <w:sz w:val="32"/>
              <w:szCs w:val="32"/>
            </w:rPr>
            <w:fldChar w:fldCharType="begin"/>
          </w:r>
          <w:r>
            <w:rPr>
              <w:sz w:val="32"/>
              <w:szCs w:val="32"/>
            </w:rPr>
            <w:instrText xml:space="preserve"> PAGEREF _Toc30794 \h </w:instrText>
          </w:r>
          <w:r>
            <w:rPr>
              <w:sz w:val="32"/>
              <w:szCs w:val="32"/>
            </w:rPr>
            <w:fldChar w:fldCharType="separate"/>
          </w:r>
          <w:r>
            <w:rPr>
              <w:sz w:val="32"/>
              <w:szCs w:val="32"/>
            </w:rPr>
            <w:t>- 6 -</w:t>
          </w:r>
          <w:r>
            <w:rPr>
              <w:sz w:val="32"/>
              <w:szCs w:val="32"/>
            </w:rPr>
            <w:fldChar w:fldCharType="end"/>
          </w:r>
          <w:r>
            <w:rPr>
              <w:sz w:val="32"/>
              <w:szCs w:val="32"/>
            </w:rPr>
            <w:fldChar w:fldCharType="end"/>
          </w:r>
        </w:p>
        <w:p w14:paraId="620992A7">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_Toc15734 </w:instrText>
          </w:r>
          <w:r>
            <w:rPr>
              <w:sz w:val="32"/>
              <w:szCs w:val="32"/>
            </w:rPr>
            <w:fldChar w:fldCharType="separate"/>
          </w:r>
          <w:r>
            <w:rPr>
              <w:rFonts w:hint="eastAsia" w:ascii="黑体" w:hAnsi="黑体" w:eastAsia="黑体" w:cs="黑体"/>
              <w:bCs w:val="0"/>
              <w:spacing w:val="2"/>
              <w:sz w:val="32"/>
              <w:szCs w:val="32"/>
              <w:lang w:val="en-US" w:eastAsia="zh-CN"/>
            </w:rPr>
            <w:t>三、建筑垃圾规模预测</w:t>
          </w:r>
          <w:r>
            <w:rPr>
              <w:rFonts w:hint="eastAsia" w:ascii="仿宋_GB2312" w:hAnsi="仿宋_GB2312" w:eastAsia="仿宋_GB2312" w:cs="仿宋_GB2312"/>
              <w:bCs w:val="0"/>
              <w:spacing w:val="8"/>
              <w:sz w:val="32"/>
              <w:szCs w:val="32"/>
              <w:lang w:val="en-US" w:eastAsia="zh-CN"/>
            </w:rPr>
            <w:t>​</w:t>
          </w:r>
          <w:r>
            <w:rPr>
              <w:sz w:val="32"/>
              <w:szCs w:val="32"/>
            </w:rPr>
            <w:tab/>
          </w:r>
          <w:r>
            <w:rPr>
              <w:sz w:val="32"/>
              <w:szCs w:val="32"/>
            </w:rPr>
            <w:fldChar w:fldCharType="begin"/>
          </w:r>
          <w:r>
            <w:rPr>
              <w:sz w:val="32"/>
              <w:szCs w:val="32"/>
            </w:rPr>
            <w:instrText xml:space="preserve"> PAGEREF _Toc15734 \h </w:instrText>
          </w:r>
          <w:r>
            <w:rPr>
              <w:sz w:val="32"/>
              <w:szCs w:val="32"/>
            </w:rPr>
            <w:fldChar w:fldCharType="separate"/>
          </w:r>
          <w:r>
            <w:rPr>
              <w:sz w:val="32"/>
              <w:szCs w:val="32"/>
            </w:rPr>
            <w:t>- 7 -</w:t>
          </w:r>
          <w:r>
            <w:rPr>
              <w:sz w:val="32"/>
              <w:szCs w:val="32"/>
            </w:rPr>
            <w:fldChar w:fldCharType="end"/>
          </w:r>
          <w:r>
            <w:rPr>
              <w:sz w:val="32"/>
              <w:szCs w:val="32"/>
            </w:rPr>
            <w:fldChar w:fldCharType="end"/>
          </w:r>
        </w:p>
        <w:p w14:paraId="452C3FBA">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_Toc3192 </w:instrText>
          </w:r>
          <w:r>
            <w:rPr>
              <w:sz w:val="32"/>
              <w:szCs w:val="32"/>
            </w:rPr>
            <w:fldChar w:fldCharType="separate"/>
          </w:r>
          <w:r>
            <w:rPr>
              <w:rFonts w:hint="eastAsia" w:ascii="楷体_GB2312" w:hAnsi="楷体_GB2312" w:eastAsia="楷体_GB2312" w:cs="楷体_GB2312"/>
              <w:bCs/>
              <w:spacing w:val="8"/>
              <w:sz w:val="32"/>
              <w:szCs w:val="32"/>
              <w:lang w:eastAsia="zh-CN"/>
            </w:rPr>
            <w:t>（</w:t>
          </w:r>
          <w:r>
            <w:rPr>
              <w:rFonts w:hint="eastAsia" w:ascii="楷体_GB2312" w:hAnsi="楷体_GB2312" w:eastAsia="楷体_GB2312" w:cs="楷体_GB2312"/>
              <w:bCs/>
              <w:spacing w:val="8"/>
              <w:sz w:val="32"/>
              <w:szCs w:val="32"/>
              <w:lang w:val="en-US" w:eastAsia="zh-CN"/>
            </w:rPr>
            <w:t>一）预测依据</w:t>
          </w:r>
          <w:r>
            <w:rPr>
              <w:rFonts w:hint="eastAsia" w:ascii="仿宋_GB2312" w:hAnsi="仿宋_GB2312" w:eastAsia="仿宋_GB2312" w:cs="仿宋_GB2312"/>
              <w:bCs w:val="0"/>
              <w:spacing w:val="8"/>
              <w:sz w:val="32"/>
              <w:szCs w:val="32"/>
              <w:lang w:val="en-US" w:eastAsia="zh-CN"/>
            </w:rPr>
            <w:t>​</w:t>
          </w:r>
          <w:r>
            <w:rPr>
              <w:sz w:val="32"/>
              <w:szCs w:val="32"/>
            </w:rPr>
            <w:tab/>
          </w:r>
          <w:r>
            <w:rPr>
              <w:sz w:val="32"/>
              <w:szCs w:val="32"/>
            </w:rPr>
            <w:fldChar w:fldCharType="begin"/>
          </w:r>
          <w:r>
            <w:rPr>
              <w:sz w:val="32"/>
              <w:szCs w:val="32"/>
            </w:rPr>
            <w:instrText xml:space="preserve"> PAGEREF _Toc3192 \h </w:instrText>
          </w:r>
          <w:r>
            <w:rPr>
              <w:sz w:val="32"/>
              <w:szCs w:val="32"/>
            </w:rPr>
            <w:fldChar w:fldCharType="separate"/>
          </w:r>
          <w:r>
            <w:rPr>
              <w:sz w:val="32"/>
              <w:szCs w:val="32"/>
            </w:rPr>
            <w:t>- 7 -</w:t>
          </w:r>
          <w:r>
            <w:rPr>
              <w:sz w:val="32"/>
              <w:szCs w:val="32"/>
            </w:rPr>
            <w:fldChar w:fldCharType="end"/>
          </w:r>
          <w:r>
            <w:rPr>
              <w:sz w:val="32"/>
              <w:szCs w:val="32"/>
            </w:rPr>
            <w:fldChar w:fldCharType="end"/>
          </w:r>
        </w:p>
        <w:p w14:paraId="60C7FE91">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_Toc2770 </w:instrText>
          </w:r>
          <w:r>
            <w:rPr>
              <w:sz w:val="32"/>
              <w:szCs w:val="32"/>
            </w:rPr>
            <w:fldChar w:fldCharType="separate"/>
          </w:r>
          <w:r>
            <w:rPr>
              <w:rFonts w:hint="eastAsia" w:ascii="楷体_GB2312" w:hAnsi="楷体_GB2312" w:eastAsia="楷体_GB2312" w:cs="楷体_GB2312"/>
              <w:bCs/>
              <w:spacing w:val="8"/>
              <w:sz w:val="32"/>
              <w:szCs w:val="32"/>
              <w:lang w:eastAsia="zh-CN"/>
            </w:rPr>
            <w:t>（</w:t>
          </w:r>
          <w:r>
            <w:rPr>
              <w:rFonts w:hint="eastAsia" w:ascii="楷体_GB2312" w:hAnsi="楷体_GB2312" w:eastAsia="楷体_GB2312" w:cs="楷体_GB2312"/>
              <w:bCs/>
              <w:spacing w:val="8"/>
              <w:sz w:val="32"/>
              <w:szCs w:val="32"/>
              <w:lang w:val="en-US" w:eastAsia="zh-CN"/>
            </w:rPr>
            <w:t>二）预测结果​</w:t>
          </w:r>
          <w:r>
            <w:rPr>
              <w:sz w:val="32"/>
              <w:szCs w:val="32"/>
            </w:rPr>
            <w:tab/>
          </w:r>
          <w:r>
            <w:rPr>
              <w:sz w:val="32"/>
              <w:szCs w:val="32"/>
            </w:rPr>
            <w:fldChar w:fldCharType="begin"/>
          </w:r>
          <w:r>
            <w:rPr>
              <w:sz w:val="32"/>
              <w:szCs w:val="32"/>
            </w:rPr>
            <w:instrText xml:space="preserve"> PAGEREF _Toc2770 \h </w:instrText>
          </w:r>
          <w:r>
            <w:rPr>
              <w:sz w:val="32"/>
              <w:szCs w:val="32"/>
            </w:rPr>
            <w:fldChar w:fldCharType="separate"/>
          </w:r>
          <w:r>
            <w:rPr>
              <w:sz w:val="32"/>
              <w:szCs w:val="32"/>
            </w:rPr>
            <w:t>- 8 -</w:t>
          </w:r>
          <w:r>
            <w:rPr>
              <w:sz w:val="32"/>
              <w:szCs w:val="32"/>
            </w:rPr>
            <w:fldChar w:fldCharType="end"/>
          </w:r>
          <w:r>
            <w:rPr>
              <w:sz w:val="32"/>
              <w:szCs w:val="32"/>
            </w:rPr>
            <w:fldChar w:fldCharType="end"/>
          </w:r>
        </w:p>
        <w:p w14:paraId="134561E6">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p>
        <w:p w14:paraId="5C499795">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_Toc14546 </w:instrText>
          </w:r>
          <w:r>
            <w:rPr>
              <w:sz w:val="32"/>
              <w:szCs w:val="32"/>
            </w:rPr>
            <w:fldChar w:fldCharType="separate"/>
          </w:r>
          <w:r>
            <w:rPr>
              <w:rFonts w:hint="eastAsia" w:ascii="黑体" w:hAnsi="黑体" w:eastAsia="黑体" w:cs="黑体"/>
              <w:spacing w:val="7"/>
              <w:sz w:val="32"/>
              <w:szCs w:val="32"/>
              <w:lang w:val="en-US" w:eastAsia="zh-CN"/>
            </w:rPr>
            <w:t>第三章 规划目标</w:t>
          </w:r>
          <w:r>
            <w:rPr>
              <w:sz w:val="32"/>
              <w:szCs w:val="32"/>
            </w:rPr>
            <w:tab/>
          </w:r>
          <w:r>
            <w:rPr>
              <w:sz w:val="32"/>
              <w:szCs w:val="32"/>
            </w:rPr>
            <w:fldChar w:fldCharType="begin"/>
          </w:r>
          <w:r>
            <w:rPr>
              <w:sz w:val="32"/>
              <w:szCs w:val="32"/>
            </w:rPr>
            <w:instrText xml:space="preserve"> PAGEREF _Toc14546 \h </w:instrText>
          </w:r>
          <w:r>
            <w:rPr>
              <w:sz w:val="32"/>
              <w:szCs w:val="32"/>
            </w:rPr>
            <w:fldChar w:fldCharType="separate"/>
          </w:r>
          <w:r>
            <w:rPr>
              <w:sz w:val="32"/>
              <w:szCs w:val="32"/>
            </w:rPr>
            <w:t>- 9 -</w:t>
          </w:r>
          <w:r>
            <w:rPr>
              <w:sz w:val="32"/>
              <w:szCs w:val="32"/>
            </w:rPr>
            <w:fldChar w:fldCharType="end"/>
          </w:r>
          <w:r>
            <w:rPr>
              <w:sz w:val="32"/>
              <w:szCs w:val="32"/>
            </w:rPr>
            <w:fldChar w:fldCharType="end"/>
          </w:r>
        </w:p>
        <w:p w14:paraId="36CA959B">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_Toc12828 </w:instrText>
          </w:r>
          <w:r>
            <w:rPr>
              <w:sz w:val="32"/>
              <w:szCs w:val="32"/>
            </w:rPr>
            <w:fldChar w:fldCharType="separate"/>
          </w:r>
          <w:r>
            <w:rPr>
              <w:rFonts w:hint="eastAsia" w:ascii="黑体" w:hAnsi="黑体" w:eastAsia="黑体" w:cs="黑体"/>
              <w:bCs w:val="0"/>
              <w:spacing w:val="2"/>
              <w:sz w:val="32"/>
              <w:szCs w:val="32"/>
              <w:lang w:val="en-US" w:eastAsia="zh-CN"/>
            </w:rPr>
            <w:t>一、总体目标​</w:t>
          </w:r>
          <w:r>
            <w:rPr>
              <w:sz w:val="32"/>
              <w:szCs w:val="32"/>
            </w:rPr>
            <w:tab/>
          </w:r>
          <w:r>
            <w:rPr>
              <w:sz w:val="32"/>
              <w:szCs w:val="32"/>
            </w:rPr>
            <w:fldChar w:fldCharType="begin"/>
          </w:r>
          <w:r>
            <w:rPr>
              <w:sz w:val="32"/>
              <w:szCs w:val="32"/>
            </w:rPr>
            <w:instrText xml:space="preserve"> PAGEREF _Toc12828 \h </w:instrText>
          </w:r>
          <w:r>
            <w:rPr>
              <w:sz w:val="32"/>
              <w:szCs w:val="32"/>
            </w:rPr>
            <w:fldChar w:fldCharType="separate"/>
          </w:r>
          <w:r>
            <w:rPr>
              <w:sz w:val="32"/>
              <w:szCs w:val="32"/>
            </w:rPr>
            <w:t>- 9 -</w:t>
          </w:r>
          <w:r>
            <w:rPr>
              <w:sz w:val="32"/>
              <w:szCs w:val="32"/>
            </w:rPr>
            <w:fldChar w:fldCharType="end"/>
          </w:r>
          <w:r>
            <w:rPr>
              <w:sz w:val="32"/>
              <w:szCs w:val="32"/>
            </w:rPr>
            <w:fldChar w:fldCharType="end"/>
          </w:r>
        </w:p>
        <w:p w14:paraId="7DB14E1F">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_Toc272 </w:instrText>
          </w:r>
          <w:r>
            <w:rPr>
              <w:sz w:val="32"/>
              <w:szCs w:val="32"/>
            </w:rPr>
            <w:fldChar w:fldCharType="separate"/>
          </w:r>
          <w:r>
            <w:rPr>
              <w:rFonts w:hint="eastAsia" w:ascii="黑体" w:hAnsi="黑体" w:eastAsia="黑体" w:cs="黑体"/>
              <w:bCs w:val="0"/>
              <w:spacing w:val="2"/>
              <w:sz w:val="32"/>
              <w:szCs w:val="32"/>
              <w:lang w:val="en-US" w:eastAsia="zh-CN"/>
            </w:rPr>
            <w:t>二、近期目标（2025—2030年）​</w:t>
          </w:r>
          <w:r>
            <w:rPr>
              <w:sz w:val="32"/>
              <w:szCs w:val="32"/>
            </w:rPr>
            <w:tab/>
          </w:r>
          <w:r>
            <w:rPr>
              <w:sz w:val="32"/>
              <w:szCs w:val="32"/>
            </w:rPr>
            <w:fldChar w:fldCharType="begin"/>
          </w:r>
          <w:r>
            <w:rPr>
              <w:sz w:val="32"/>
              <w:szCs w:val="32"/>
            </w:rPr>
            <w:instrText xml:space="preserve"> PAGEREF _Toc272 \h </w:instrText>
          </w:r>
          <w:r>
            <w:rPr>
              <w:sz w:val="32"/>
              <w:szCs w:val="32"/>
            </w:rPr>
            <w:fldChar w:fldCharType="separate"/>
          </w:r>
          <w:r>
            <w:rPr>
              <w:sz w:val="32"/>
              <w:szCs w:val="32"/>
            </w:rPr>
            <w:t>- 9 -</w:t>
          </w:r>
          <w:r>
            <w:rPr>
              <w:sz w:val="32"/>
              <w:szCs w:val="32"/>
            </w:rPr>
            <w:fldChar w:fldCharType="end"/>
          </w:r>
          <w:r>
            <w:rPr>
              <w:sz w:val="32"/>
              <w:szCs w:val="32"/>
            </w:rPr>
            <w:fldChar w:fldCharType="end"/>
          </w:r>
        </w:p>
        <w:p w14:paraId="100C1FD4">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_Toc21930 </w:instrText>
          </w:r>
          <w:r>
            <w:rPr>
              <w:sz w:val="32"/>
              <w:szCs w:val="32"/>
            </w:rPr>
            <w:fldChar w:fldCharType="separate"/>
          </w:r>
          <w:r>
            <w:rPr>
              <w:rFonts w:hint="eastAsia" w:ascii="楷体_GB2312" w:hAnsi="楷体_GB2312" w:eastAsia="楷体_GB2312" w:cs="楷体_GB2312"/>
              <w:bCs/>
              <w:spacing w:val="8"/>
              <w:sz w:val="32"/>
              <w:szCs w:val="32"/>
              <w:lang w:val="en-US" w:eastAsia="zh-CN"/>
            </w:rPr>
            <w:t>（一）减量化目标</w:t>
          </w:r>
          <w:r>
            <w:rPr>
              <w:sz w:val="32"/>
              <w:szCs w:val="32"/>
            </w:rPr>
            <w:tab/>
          </w:r>
          <w:r>
            <w:rPr>
              <w:sz w:val="32"/>
              <w:szCs w:val="32"/>
            </w:rPr>
            <w:fldChar w:fldCharType="begin"/>
          </w:r>
          <w:r>
            <w:rPr>
              <w:sz w:val="32"/>
              <w:szCs w:val="32"/>
            </w:rPr>
            <w:instrText xml:space="preserve"> PAGEREF _Toc21930 \h </w:instrText>
          </w:r>
          <w:r>
            <w:rPr>
              <w:sz w:val="32"/>
              <w:szCs w:val="32"/>
            </w:rPr>
            <w:fldChar w:fldCharType="separate"/>
          </w:r>
          <w:r>
            <w:rPr>
              <w:sz w:val="32"/>
              <w:szCs w:val="32"/>
            </w:rPr>
            <w:t>- 9 -</w:t>
          </w:r>
          <w:r>
            <w:rPr>
              <w:sz w:val="32"/>
              <w:szCs w:val="32"/>
            </w:rPr>
            <w:fldChar w:fldCharType="end"/>
          </w:r>
          <w:r>
            <w:rPr>
              <w:sz w:val="32"/>
              <w:szCs w:val="32"/>
            </w:rPr>
            <w:fldChar w:fldCharType="end"/>
          </w:r>
        </w:p>
        <w:p w14:paraId="2AAC269F">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_Toc32172 </w:instrText>
          </w:r>
          <w:r>
            <w:rPr>
              <w:sz w:val="32"/>
              <w:szCs w:val="32"/>
            </w:rPr>
            <w:fldChar w:fldCharType="separate"/>
          </w:r>
          <w:r>
            <w:rPr>
              <w:rFonts w:hint="eastAsia" w:ascii="楷体_GB2312" w:hAnsi="楷体_GB2312" w:eastAsia="楷体_GB2312" w:cs="楷体_GB2312"/>
              <w:bCs/>
              <w:spacing w:val="8"/>
              <w:sz w:val="32"/>
              <w:szCs w:val="32"/>
              <w:lang w:val="en-US" w:eastAsia="zh-CN"/>
            </w:rPr>
            <w:t>（二）资源化目标</w:t>
          </w:r>
          <w:r>
            <w:rPr>
              <w:sz w:val="32"/>
              <w:szCs w:val="32"/>
            </w:rPr>
            <w:tab/>
          </w:r>
          <w:r>
            <w:rPr>
              <w:sz w:val="32"/>
              <w:szCs w:val="32"/>
            </w:rPr>
            <w:fldChar w:fldCharType="begin"/>
          </w:r>
          <w:r>
            <w:rPr>
              <w:sz w:val="32"/>
              <w:szCs w:val="32"/>
            </w:rPr>
            <w:instrText xml:space="preserve"> PAGEREF _Toc32172 \h </w:instrText>
          </w:r>
          <w:r>
            <w:rPr>
              <w:sz w:val="32"/>
              <w:szCs w:val="32"/>
            </w:rPr>
            <w:fldChar w:fldCharType="separate"/>
          </w:r>
          <w:r>
            <w:rPr>
              <w:sz w:val="32"/>
              <w:szCs w:val="32"/>
            </w:rPr>
            <w:t>- 9 -</w:t>
          </w:r>
          <w:r>
            <w:rPr>
              <w:sz w:val="32"/>
              <w:szCs w:val="32"/>
            </w:rPr>
            <w:fldChar w:fldCharType="end"/>
          </w:r>
          <w:r>
            <w:rPr>
              <w:sz w:val="32"/>
              <w:szCs w:val="32"/>
            </w:rPr>
            <w:fldChar w:fldCharType="end"/>
          </w:r>
        </w:p>
        <w:p w14:paraId="6412F1BF">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_Toc5538 </w:instrText>
          </w:r>
          <w:r>
            <w:rPr>
              <w:sz w:val="32"/>
              <w:szCs w:val="32"/>
            </w:rPr>
            <w:fldChar w:fldCharType="separate"/>
          </w:r>
          <w:r>
            <w:rPr>
              <w:rFonts w:hint="eastAsia" w:ascii="楷体_GB2312" w:hAnsi="楷体_GB2312" w:eastAsia="楷体_GB2312" w:cs="楷体_GB2312"/>
              <w:bCs/>
              <w:spacing w:val="8"/>
              <w:sz w:val="32"/>
              <w:szCs w:val="32"/>
              <w:lang w:val="en-US" w:eastAsia="zh-CN"/>
            </w:rPr>
            <w:t>（三）无害化目标</w:t>
          </w:r>
          <w:r>
            <w:rPr>
              <w:sz w:val="32"/>
              <w:szCs w:val="32"/>
            </w:rPr>
            <w:tab/>
          </w:r>
          <w:r>
            <w:rPr>
              <w:sz w:val="32"/>
              <w:szCs w:val="32"/>
            </w:rPr>
            <w:fldChar w:fldCharType="begin"/>
          </w:r>
          <w:r>
            <w:rPr>
              <w:sz w:val="32"/>
              <w:szCs w:val="32"/>
            </w:rPr>
            <w:instrText xml:space="preserve"> PAGEREF _Toc5538 \h </w:instrText>
          </w:r>
          <w:r>
            <w:rPr>
              <w:sz w:val="32"/>
              <w:szCs w:val="32"/>
            </w:rPr>
            <w:fldChar w:fldCharType="separate"/>
          </w:r>
          <w:r>
            <w:rPr>
              <w:sz w:val="32"/>
              <w:szCs w:val="32"/>
            </w:rPr>
            <w:t>- 9 -</w:t>
          </w:r>
          <w:r>
            <w:rPr>
              <w:sz w:val="32"/>
              <w:szCs w:val="32"/>
            </w:rPr>
            <w:fldChar w:fldCharType="end"/>
          </w:r>
          <w:r>
            <w:rPr>
              <w:sz w:val="32"/>
              <w:szCs w:val="32"/>
            </w:rPr>
            <w:fldChar w:fldCharType="end"/>
          </w:r>
        </w:p>
        <w:p w14:paraId="2C9098B8">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_Toc22909 </w:instrText>
          </w:r>
          <w:r>
            <w:rPr>
              <w:sz w:val="32"/>
              <w:szCs w:val="32"/>
            </w:rPr>
            <w:fldChar w:fldCharType="separate"/>
          </w:r>
          <w:r>
            <w:rPr>
              <w:rFonts w:hint="eastAsia" w:ascii="楷体_GB2312" w:hAnsi="楷体_GB2312" w:eastAsia="楷体_GB2312" w:cs="楷体_GB2312"/>
              <w:bCs/>
              <w:spacing w:val="8"/>
              <w:sz w:val="32"/>
              <w:szCs w:val="32"/>
              <w:lang w:val="en-US" w:eastAsia="zh-CN"/>
            </w:rPr>
            <w:t>（四）管理目标</w:t>
          </w:r>
          <w:r>
            <w:rPr>
              <w:sz w:val="32"/>
              <w:szCs w:val="32"/>
            </w:rPr>
            <w:tab/>
          </w:r>
          <w:r>
            <w:rPr>
              <w:sz w:val="32"/>
              <w:szCs w:val="32"/>
            </w:rPr>
            <w:fldChar w:fldCharType="begin"/>
          </w:r>
          <w:r>
            <w:rPr>
              <w:sz w:val="32"/>
              <w:szCs w:val="32"/>
            </w:rPr>
            <w:instrText xml:space="preserve"> PAGEREF _Toc22909 \h </w:instrText>
          </w:r>
          <w:r>
            <w:rPr>
              <w:sz w:val="32"/>
              <w:szCs w:val="32"/>
            </w:rPr>
            <w:fldChar w:fldCharType="separate"/>
          </w:r>
          <w:r>
            <w:rPr>
              <w:sz w:val="32"/>
              <w:szCs w:val="32"/>
            </w:rPr>
            <w:t>- 9 -</w:t>
          </w:r>
          <w:r>
            <w:rPr>
              <w:sz w:val="32"/>
              <w:szCs w:val="32"/>
            </w:rPr>
            <w:fldChar w:fldCharType="end"/>
          </w:r>
          <w:r>
            <w:rPr>
              <w:sz w:val="32"/>
              <w:szCs w:val="32"/>
            </w:rPr>
            <w:fldChar w:fldCharType="end"/>
          </w:r>
        </w:p>
        <w:p w14:paraId="41C77445">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_Toc30625 </w:instrText>
          </w:r>
          <w:r>
            <w:rPr>
              <w:sz w:val="32"/>
              <w:szCs w:val="32"/>
            </w:rPr>
            <w:fldChar w:fldCharType="separate"/>
          </w:r>
          <w:r>
            <w:rPr>
              <w:rFonts w:hint="eastAsia" w:ascii="黑体" w:hAnsi="黑体" w:eastAsia="黑体" w:cs="黑体"/>
              <w:bCs w:val="0"/>
              <w:spacing w:val="2"/>
              <w:sz w:val="32"/>
              <w:szCs w:val="32"/>
              <w:lang w:val="en-US" w:eastAsia="zh-CN"/>
            </w:rPr>
            <w:t>三、远期目标（2031—2035年）​</w:t>
          </w:r>
          <w:r>
            <w:rPr>
              <w:sz w:val="32"/>
              <w:szCs w:val="32"/>
            </w:rPr>
            <w:tab/>
          </w:r>
          <w:r>
            <w:rPr>
              <w:sz w:val="32"/>
              <w:szCs w:val="32"/>
            </w:rPr>
            <w:fldChar w:fldCharType="begin"/>
          </w:r>
          <w:r>
            <w:rPr>
              <w:sz w:val="32"/>
              <w:szCs w:val="32"/>
            </w:rPr>
            <w:instrText xml:space="preserve"> PAGEREF _Toc30625 \h </w:instrText>
          </w:r>
          <w:r>
            <w:rPr>
              <w:sz w:val="32"/>
              <w:szCs w:val="32"/>
            </w:rPr>
            <w:fldChar w:fldCharType="separate"/>
          </w:r>
          <w:r>
            <w:rPr>
              <w:sz w:val="32"/>
              <w:szCs w:val="32"/>
            </w:rPr>
            <w:t>- 9 -</w:t>
          </w:r>
          <w:r>
            <w:rPr>
              <w:sz w:val="32"/>
              <w:szCs w:val="32"/>
            </w:rPr>
            <w:fldChar w:fldCharType="end"/>
          </w:r>
          <w:r>
            <w:rPr>
              <w:sz w:val="32"/>
              <w:szCs w:val="32"/>
            </w:rPr>
            <w:fldChar w:fldCharType="end"/>
          </w:r>
        </w:p>
        <w:p w14:paraId="37CD0956">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_Toc31048 </w:instrText>
          </w:r>
          <w:r>
            <w:rPr>
              <w:sz w:val="32"/>
              <w:szCs w:val="32"/>
            </w:rPr>
            <w:fldChar w:fldCharType="separate"/>
          </w:r>
          <w:r>
            <w:rPr>
              <w:rFonts w:hint="eastAsia" w:ascii="楷体_GB2312" w:hAnsi="楷体_GB2312" w:eastAsia="楷体_GB2312" w:cs="楷体_GB2312"/>
              <w:bCs/>
              <w:spacing w:val="8"/>
              <w:sz w:val="32"/>
              <w:szCs w:val="32"/>
              <w:lang w:val="en-US" w:eastAsia="zh-CN"/>
            </w:rPr>
            <w:t>（一）减量化目标</w:t>
          </w:r>
          <w:r>
            <w:rPr>
              <w:sz w:val="32"/>
              <w:szCs w:val="32"/>
            </w:rPr>
            <w:tab/>
          </w:r>
          <w:r>
            <w:rPr>
              <w:sz w:val="32"/>
              <w:szCs w:val="32"/>
            </w:rPr>
            <w:fldChar w:fldCharType="begin"/>
          </w:r>
          <w:r>
            <w:rPr>
              <w:sz w:val="32"/>
              <w:szCs w:val="32"/>
            </w:rPr>
            <w:instrText xml:space="preserve"> PAGEREF _Toc31048 \h </w:instrText>
          </w:r>
          <w:r>
            <w:rPr>
              <w:sz w:val="32"/>
              <w:szCs w:val="32"/>
            </w:rPr>
            <w:fldChar w:fldCharType="separate"/>
          </w:r>
          <w:r>
            <w:rPr>
              <w:sz w:val="32"/>
              <w:szCs w:val="32"/>
            </w:rPr>
            <w:t>- 9 -</w:t>
          </w:r>
          <w:r>
            <w:rPr>
              <w:sz w:val="32"/>
              <w:szCs w:val="32"/>
            </w:rPr>
            <w:fldChar w:fldCharType="end"/>
          </w:r>
          <w:r>
            <w:rPr>
              <w:sz w:val="32"/>
              <w:szCs w:val="32"/>
            </w:rPr>
            <w:fldChar w:fldCharType="end"/>
          </w:r>
        </w:p>
        <w:p w14:paraId="0FD928FB">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_Toc1222 </w:instrText>
          </w:r>
          <w:r>
            <w:rPr>
              <w:sz w:val="32"/>
              <w:szCs w:val="32"/>
            </w:rPr>
            <w:fldChar w:fldCharType="separate"/>
          </w:r>
          <w:r>
            <w:rPr>
              <w:rFonts w:hint="eastAsia" w:ascii="楷体_GB2312" w:hAnsi="楷体_GB2312" w:eastAsia="楷体_GB2312" w:cs="楷体_GB2312"/>
              <w:bCs/>
              <w:spacing w:val="8"/>
              <w:sz w:val="32"/>
              <w:szCs w:val="32"/>
              <w:lang w:val="en-US" w:eastAsia="zh-CN"/>
            </w:rPr>
            <w:t>（二）资源化目标</w:t>
          </w:r>
          <w:r>
            <w:rPr>
              <w:sz w:val="32"/>
              <w:szCs w:val="32"/>
            </w:rPr>
            <w:tab/>
          </w:r>
          <w:r>
            <w:rPr>
              <w:sz w:val="32"/>
              <w:szCs w:val="32"/>
            </w:rPr>
            <w:fldChar w:fldCharType="begin"/>
          </w:r>
          <w:r>
            <w:rPr>
              <w:sz w:val="32"/>
              <w:szCs w:val="32"/>
            </w:rPr>
            <w:instrText xml:space="preserve"> PAGEREF _Toc1222 \h </w:instrText>
          </w:r>
          <w:r>
            <w:rPr>
              <w:sz w:val="32"/>
              <w:szCs w:val="32"/>
            </w:rPr>
            <w:fldChar w:fldCharType="separate"/>
          </w:r>
          <w:r>
            <w:rPr>
              <w:sz w:val="32"/>
              <w:szCs w:val="32"/>
            </w:rPr>
            <w:t>- 10 -</w:t>
          </w:r>
          <w:r>
            <w:rPr>
              <w:sz w:val="32"/>
              <w:szCs w:val="32"/>
            </w:rPr>
            <w:fldChar w:fldCharType="end"/>
          </w:r>
          <w:r>
            <w:rPr>
              <w:sz w:val="32"/>
              <w:szCs w:val="32"/>
            </w:rPr>
            <w:fldChar w:fldCharType="end"/>
          </w:r>
        </w:p>
        <w:p w14:paraId="5C00E303">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_Toc17913 </w:instrText>
          </w:r>
          <w:r>
            <w:rPr>
              <w:sz w:val="32"/>
              <w:szCs w:val="32"/>
            </w:rPr>
            <w:fldChar w:fldCharType="separate"/>
          </w:r>
          <w:r>
            <w:rPr>
              <w:rFonts w:hint="eastAsia" w:ascii="楷体_GB2312" w:hAnsi="楷体_GB2312" w:eastAsia="楷体_GB2312" w:cs="楷体_GB2312"/>
              <w:bCs/>
              <w:spacing w:val="8"/>
              <w:sz w:val="32"/>
              <w:szCs w:val="32"/>
              <w:lang w:val="en-US" w:eastAsia="zh-CN"/>
            </w:rPr>
            <w:t>（三）无害化目标</w:t>
          </w:r>
          <w:r>
            <w:rPr>
              <w:sz w:val="32"/>
              <w:szCs w:val="32"/>
            </w:rPr>
            <w:tab/>
          </w:r>
          <w:r>
            <w:rPr>
              <w:sz w:val="32"/>
              <w:szCs w:val="32"/>
            </w:rPr>
            <w:fldChar w:fldCharType="begin"/>
          </w:r>
          <w:r>
            <w:rPr>
              <w:sz w:val="32"/>
              <w:szCs w:val="32"/>
            </w:rPr>
            <w:instrText xml:space="preserve"> PAGEREF _Toc17913 \h </w:instrText>
          </w:r>
          <w:r>
            <w:rPr>
              <w:sz w:val="32"/>
              <w:szCs w:val="32"/>
            </w:rPr>
            <w:fldChar w:fldCharType="separate"/>
          </w:r>
          <w:r>
            <w:rPr>
              <w:sz w:val="32"/>
              <w:szCs w:val="32"/>
            </w:rPr>
            <w:t>- 10 -</w:t>
          </w:r>
          <w:r>
            <w:rPr>
              <w:sz w:val="32"/>
              <w:szCs w:val="32"/>
            </w:rPr>
            <w:fldChar w:fldCharType="end"/>
          </w:r>
          <w:r>
            <w:rPr>
              <w:sz w:val="32"/>
              <w:szCs w:val="32"/>
            </w:rPr>
            <w:fldChar w:fldCharType="end"/>
          </w:r>
        </w:p>
        <w:p w14:paraId="398457E7">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_Toc1261 </w:instrText>
          </w:r>
          <w:r>
            <w:rPr>
              <w:sz w:val="32"/>
              <w:szCs w:val="32"/>
            </w:rPr>
            <w:fldChar w:fldCharType="separate"/>
          </w:r>
          <w:r>
            <w:rPr>
              <w:rFonts w:hint="eastAsia" w:ascii="楷体_GB2312" w:hAnsi="楷体_GB2312" w:eastAsia="楷体_GB2312" w:cs="楷体_GB2312"/>
              <w:bCs/>
              <w:spacing w:val="8"/>
              <w:sz w:val="32"/>
              <w:szCs w:val="32"/>
              <w:lang w:val="en-US" w:eastAsia="zh-CN"/>
            </w:rPr>
            <w:t>（四）管理目标</w:t>
          </w:r>
          <w:r>
            <w:rPr>
              <w:sz w:val="32"/>
              <w:szCs w:val="32"/>
            </w:rPr>
            <w:tab/>
          </w:r>
          <w:r>
            <w:rPr>
              <w:sz w:val="32"/>
              <w:szCs w:val="32"/>
            </w:rPr>
            <w:fldChar w:fldCharType="begin"/>
          </w:r>
          <w:r>
            <w:rPr>
              <w:sz w:val="32"/>
              <w:szCs w:val="32"/>
            </w:rPr>
            <w:instrText xml:space="preserve"> PAGEREF _Toc1261 \h </w:instrText>
          </w:r>
          <w:r>
            <w:rPr>
              <w:sz w:val="32"/>
              <w:szCs w:val="32"/>
            </w:rPr>
            <w:fldChar w:fldCharType="separate"/>
          </w:r>
          <w:r>
            <w:rPr>
              <w:sz w:val="32"/>
              <w:szCs w:val="32"/>
            </w:rPr>
            <w:t>- 10 -</w:t>
          </w:r>
          <w:r>
            <w:rPr>
              <w:sz w:val="32"/>
              <w:szCs w:val="32"/>
            </w:rPr>
            <w:fldChar w:fldCharType="end"/>
          </w:r>
          <w:r>
            <w:rPr>
              <w:sz w:val="32"/>
              <w:szCs w:val="32"/>
            </w:rPr>
            <w:fldChar w:fldCharType="end"/>
          </w:r>
        </w:p>
        <w:p w14:paraId="1177154B">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_Toc6100 </w:instrText>
          </w:r>
          <w:r>
            <w:rPr>
              <w:sz w:val="32"/>
              <w:szCs w:val="32"/>
            </w:rPr>
            <w:fldChar w:fldCharType="separate"/>
          </w:r>
          <w:r>
            <w:rPr>
              <w:rFonts w:hint="eastAsia" w:ascii="黑体" w:hAnsi="黑体" w:eastAsia="黑体" w:cs="黑体"/>
              <w:bCs w:val="0"/>
              <w:spacing w:val="2"/>
              <w:sz w:val="32"/>
              <w:szCs w:val="32"/>
              <w:lang w:val="en-US" w:eastAsia="zh-CN"/>
            </w:rPr>
            <w:t>四、控制指标</w:t>
          </w:r>
          <w:r>
            <w:rPr>
              <w:sz w:val="32"/>
              <w:szCs w:val="32"/>
            </w:rPr>
            <w:tab/>
          </w:r>
          <w:r>
            <w:rPr>
              <w:sz w:val="32"/>
              <w:szCs w:val="32"/>
            </w:rPr>
            <w:fldChar w:fldCharType="begin"/>
          </w:r>
          <w:r>
            <w:rPr>
              <w:sz w:val="32"/>
              <w:szCs w:val="32"/>
            </w:rPr>
            <w:instrText xml:space="preserve"> PAGEREF _Toc6100 \h </w:instrText>
          </w:r>
          <w:r>
            <w:rPr>
              <w:sz w:val="32"/>
              <w:szCs w:val="32"/>
            </w:rPr>
            <w:fldChar w:fldCharType="separate"/>
          </w:r>
          <w:r>
            <w:rPr>
              <w:sz w:val="32"/>
              <w:szCs w:val="32"/>
            </w:rPr>
            <w:t>- 10 -</w:t>
          </w:r>
          <w:r>
            <w:rPr>
              <w:sz w:val="32"/>
              <w:szCs w:val="32"/>
            </w:rPr>
            <w:fldChar w:fldCharType="end"/>
          </w:r>
          <w:r>
            <w:rPr>
              <w:sz w:val="32"/>
              <w:szCs w:val="32"/>
            </w:rPr>
            <w:fldChar w:fldCharType="end"/>
          </w:r>
        </w:p>
        <w:p w14:paraId="14832B50">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p>
        <w:p w14:paraId="1F0F7920">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_Toc10631 </w:instrText>
          </w:r>
          <w:r>
            <w:rPr>
              <w:sz w:val="32"/>
              <w:szCs w:val="32"/>
            </w:rPr>
            <w:fldChar w:fldCharType="separate"/>
          </w:r>
          <w:r>
            <w:rPr>
              <w:rFonts w:hint="eastAsia" w:ascii="黑体" w:hAnsi="黑体" w:eastAsia="黑体" w:cs="黑体"/>
              <w:spacing w:val="7"/>
              <w:sz w:val="32"/>
              <w:szCs w:val="32"/>
              <w:lang w:val="en-US" w:eastAsia="zh-CN"/>
            </w:rPr>
            <w:t>第四章 源头减量</w:t>
          </w:r>
          <w:r>
            <w:rPr>
              <w:sz w:val="32"/>
              <w:szCs w:val="32"/>
            </w:rPr>
            <w:tab/>
          </w:r>
          <w:r>
            <w:rPr>
              <w:sz w:val="32"/>
              <w:szCs w:val="32"/>
            </w:rPr>
            <w:fldChar w:fldCharType="begin"/>
          </w:r>
          <w:r>
            <w:rPr>
              <w:sz w:val="32"/>
              <w:szCs w:val="32"/>
            </w:rPr>
            <w:instrText xml:space="preserve"> PAGEREF _Toc10631 \h </w:instrText>
          </w:r>
          <w:r>
            <w:rPr>
              <w:sz w:val="32"/>
              <w:szCs w:val="32"/>
            </w:rPr>
            <w:fldChar w:fldCharType="separate"/>
          </w:r>
          <w:r>
            <w:rPr>
              <w:sz w:val="32"/>
              <w:szCs w:val="32"/>
            </w:rPr>
            <w:t>- 11 -</w:t>
          </w:r>
          <w:r>
            <w:rPr>
              <w:sz w:val="32"/>
              <w:szCs w:val="32"/>
            </w:rPr>
            <w:fldChar w:fldCharType="end"/>
          </w:r>
          <w:r>
            <w:rPr>
              <w:sz w:val="32"/>
              <w:szCs w:val="32"/>
            </w:rPr>
            <w:fldChar w:fldCharType="end"/>
          </w:r>
        </w:p>
        <w:p w14:paraId="5D7292A7">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_Toc10279 </w:instrText>
          </w:r>
          <w:r>
            <w:rPr>
              <w:sz w:val="32"/>
              <w:szCs w:val="32"/>
            </w:rPr>
            <w:fldChar w:fldCharType="separate"/>
          </w:r>
          <w:r>
            <w:rPr>
              <w:rFonts w:hint="eastAsia" w:ascii="黑体" w:hAnsi="黑体" w:eastAsia="黑体" w:cs="黑体"/>
              <w:bCs w:val="0"/>
              <w:spacing w:val="2"/>
              <w:sz w:val="32"/>
              <w:szCs w:val="32"/>
              <w:lang w:val="en-US" w:eastAsia="zh-CN"/>
            </w:rPr>
            <w:t>一、源头减量目标</w:t>
          </w:r>
          <w:r>
            <w:rPr>
              <w:rFonts w:hint="default" w:ascii="黑体" w:hAnsi="黑体" w:eastAsia="黑体" w:cs="黑体"/>
              <w:bCs w:val="0"/>
              <w:spacing w:val="2"/>
              <w:sz w:val="32"/>
              <w:szCs w:val="32"/>
              <w:lang w:val="en-US" w:eastAsia="zh-CN"/>
            </w:rPr>
            <w:t>​</w:t>
          </w:r>
          <w:r>
            <w:rPr>
              <w:rFonts w:hint="default" w:ascii="楷体_GB2312" w:hAnsi="楷体_GB2312" w:eastAsia="楷体_GB2312" w:cs="楷体_GB2312"/>
              <w:bCs/>
              <w:spacing w:val="8"/>
              <w:sz w:val="32"/>
              <w:szCs w:val="32"/>
              <w:lang w:val="en-US" w:eastAsia="zh-CN"/>
            </w:rPr>
            <w:t>​</w:t>
          </w:r>
          <w:r>
            <w:rPr>
              <w:sz w:val="32"/>
              <w:szCs w:val="32"/>
            </w:rPr>
            <w:tab/>
          </w:r>
          <w:r>
            <w:rPr>
              <w:sz w:val="32"/>
              <w:szCs w:val="32"/>
            </w:rPr>
            <w:fldChar w:fldCharType="begin"/>
          </w:r>
          <w:r>
            <w:rPr>
              <w:sz w:val="32"/>
              <w:szCs w:val="32"/>
            </w:rPr>
            <w:instrText xml:space="preserve"> PAGEREF _Toc10279 \h </w:instrText>
          </w:r>
          <w:r>
            <w:rPr>
              <w:sz w:val="32"/>
              <w:szCs w:val="32"/>
            </w:rPr>
            <w:fldChar w:fldCharType="separate"/>
          </w:r>
          <w:r>
            <w:rPr>
              <w:sz w:val="32"/>
              <w:szCs w:val="32"/>
            </w:rPr>
            <w:t>- 11 -</w:t>
          </w:r>
          <w:r>
            <w:rPr>
              <w:sz w:val="32"/>
              <w:szCs w:val="32"/>
            </w:rPr>
            <w:fldChar w:fldCharType="end"/>
          </w:r>
          <w:r>
            <w:rPr>
              <w:sz w:val="32"/>
              <w:szCs w:val="32"/>
            </w:rPr>
            <w:fldChar w:fldCharType="end"/>
          </w:r>
        </w:p>
        <w:p w14:paraId="773AA9D0">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_Toc6222 </w:instrText>
          </w:r>
          <w:r>
            <w:rPr>
              <w:sz w:val="32"/>
              <w:szCs w:val="32"/>
            </w:rPr>
            <w:fldChar w:fldCharType="separate"/>
          </w:r>
          <w:r>
            <w:rPr>
              <w:rFonts w:hint="eastAsia" w:ascii="黑体" w:hAnsi="黑体" w:eastAsia="黑体" w:cs="黑体"/>
              <w:bCs w:val="0"/>
              <w:spacing w:val="2"/>
              <w:sz w:val="32"/>
              <w:szCs w:val="32"/>
              <w:lang w:val="en-US" w:eastAsia="zh-CN"/>
            </w:rPr>
            <w:t>二、</w:t>
          </w:r>
          <w:r>
            <w:rPr>
              <w:rFonts w:hint="default" w:ascii="黑体" w:hAnsi="黑体" w:eastAsia="黑体" w:cs="黑体"/>
              <w:bCs w:val="0"/>
              <w:spacing w:val="2"/>
              <w:sz w:val="32"/>
              <w:szCs w:val="32"/>
              <w:lang w:val="en-US" w:eastAsia="zh-CN"/>
            </w:rPr>
            <w:t>源头减量措施​</w:t>
          </w:r>
          <w:r>
            <w:rPr>
              <w:sz w:val="32"/>
              <w:szCs w:val="32"/>
            </w:rPr>
            <w:tab/>
          </w:r>
          <w:r>
            <w:rPr>
              <w:sz w:val="32"/>
              <w:szCs w:val="32"/>
            </w:rPr>
            <w:fldChar w:fldCharType="begin"/>
          </w:r>
          <w:r>
            <w:rPr>
              <w:sz w:val="32"/>
              <w:szCs w:val="32"/>
            </w:rPr>
            <w:instrText xml:space="preserve"> PAGEREF _Toc6222 \h </w:instrText>
          </w:r>
          <w:r>
            <w:rPr>
              <w:sz w:val="32"/>
              <w:szCs w:val="32"/>
            </w:rPr>
            <w:fldChar w:fldCharType="separate"/>
          </w:r>
          <w:r>
            <w:rPr>
              <w:sz w:val="32"/>
              <w:szCs w:val="32"/>
            </w:rPr>
            <w:t>- 11 -</w:t>
          </w:r>
          <w:r>
            <w:rPr>
              <w:sz w:val="32"/>
              <w:szCs w:val="32"/>
            </w:rPr>
            <w:fldChar w:fldCharType="end"/>
          </w:r>
          <w:r>
            <w:rPr>
              <w:sz w:val="32"/>
              <w:szCs w:val="32"/>
            </w:rPr>
            <w:fldChar w:fldCharType="end"/>
          </w:r>
        </w:p>
        <w:p w14:paraId="129DEBA2">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_Toc11826 </w:instrText>
          </w:r>
          <w:r>
            <w:rPr>
              <w:sz w:val="32"/>
              <w:szCs w:val="32"/>
            </w:rPr>
            <w:fldChar w:fldCharType="separate"/>
          </w:r>
          <w:r>
            <w:rPr>
              <w:rFonts w:hint="eastAsia" w:ascii="楷体_GB2312" w:hAnsi="楷体_GB2312" w:eastAsia="楷体_GB2312" w:cs="楷体_GB2312"/>
              <w:bCs/>
              <w:spacing w:val="8"/>
              <w:sz w:val="32"/>
              <w:szCs w:val="32"/>
              <w:lang w:val="en-US" w:eastAsia="zh-CN"/>
            </w:rPr>
            <w:t>（一）</w:t>
          </w:r>
          <w:r>
            <w:rPr>
              <w:rFonts w:hint="default" w:ascii="楷体_GB2312" w:hAnsi="楷体_GB2312" w:eastAsia="楷体_GB2312" w:cs="楷体_GB2312"/>
              <w:bCs/>
              <w:spacing w:val="8"/>
              <w:sz w:val="32"/>
              <w:szCs w:val="32"/>
              <w:lang w:val="en-US" w:eastAsia="zh-CN"/>
            </w:rPr>
            <w:t>责任体系构建​</w:t>
          </w:r>
          <w:r>
            <w:rPr>
              <w:sz w:val="32"/>
              <w:szCs w:val="32"/>
            </w:rPr>
            <w:tab/>
          </w:r>
          <w:r>
            <w:rPr>
              <w:sz w:val="32"/>
              <w:szCs w:val="32"/>
            </w:rPr>
            <w:fldChar w:fldCharType="begin"/>
          </w:r>
          <w:r>
            <w:rPr>
              <w:sz w:val="32"/>
              <w:szCs w:val="32"/>
            </w:rPr>
            <w:instrText xml:space="preserve"> PAGEREF _Toc11826 \h </w:instrText>
          </w:r>
          <w:r>
            <w:rPr>
              <w:sz w:val="32"/>
              <w:szCs w:val="32"/>
            </w:rPr>
            <w:fldChar w:fldCharType="separate"/>
          </w:r>
          <w:r>
            <w:rPr>
              <w:sz w:val="32"/>
              <w:szCs w:val="32"/>
            </w:rPr>
            <w:t>- 11 -</w:t>
          </w:r>
          <w:r>
            <w:rPr>
              <w:sz w:val="32"/>
              <w:szCs w:val="32"/>
            </w:rPr>
            <w:fldChar w:fldCharType="end"/>
          </w:r>
          <w:r>
            <w:rPr>
              <w:sz w:val="32"/>
              <w:szCs w:val="32"/>
            </w:rPr>
            <w:fldChar w:fldCharType="end"/>
          </w:r>
        </w:p>
        <w:p w14:paraId="76F8FDBA">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_Toc31278 </w:instrText>
          </w:r>
          <w:r>
            <w:rPr>
              <w:sz w:val="32"/>
              <w:szCs w:val="32"/>
            </w:rPr>
            <w:fldChar w:fldCharType="separate"/>
          </w:r>
          <w:r>
            <w:rPr>
              <w:rFonts w:hint="eastAsia" w:ascii="楷体_GB2312" w:hAnsi="楷体_GB2312" w:eastAsia="楷体_GB2312" w:cs="楷体_GB2312"/>
              <w:bCs/>
              <w:spacing w:val="8"/>
              <w:sz w:val="32"/>
              <w:szCs w:val="32"/>
              <w:lang w:val="en-US" w:eastAsia="zh-CN"/>
            </w:rPr>
            <w:t>（二）</w:t>
          </w:r>
          <w:r>
            <w:rPr>
              <w:rFonts w:hint="default" w:ascii="楷体_GB2312" w:hAnsi="楷体_GB2312" w:eastAsia="楷体_GB2312" w:cs="楷体_GB2312"/>
              <w:bCs/>
              <w:spacing w:val="8"/>
              <w:sz w:val="32"/>
              <w:szCs w:val="32"/>
              <w:lang w:val="en-US" w:eastAsia="zh-CN"/>
            </w:rPr>
            <w:t>技术标准推广​</w:t>
          </w:r>
          <w:r>
            <w:rPr>
              <w:sz w:val="32"/>
              <w:szCs w:val="32"/>
            </w:rPr>
            <w:tab/>
          </w:r>
          <w:r>
            <w:rPr>
              <w:sz w:val="32"/>
              <w:szCs w:val="32"/>
            </w:rPr>
            <w:fldChar w:fldCharType="begin"/>
          </w:r>
          <w:r>
            <w:rPr>
              <w:sz w:val="32"/>
              <w:szCs w:val="32"/>
            </w:rPr>
            <w:instrText xml:space="preserve"> PAGEREF _Toc31278 \h </w:instrText>
          </w:r>
          <w:r>
            <w:rPr>
              <w:sz w:val="32"/>
              <w:szCs w:val="32"/>
            </w:rPr>
            <w:fldChar w:fldCharType="separate"/>
          </w:r>
          <w:r>
            <w:rPr>
              <w:sz w:val="32"/>
              <w:szCs w:val="32"/>
            </w:rPr>
            <w:t>- 11 -</w:t>
          </w:r>
          <w:r>
            <w:rPr>
              <w:sz w:val="32"/>
              <w:szCs w:val="32"/>
            </w:rPr>
            <w:fldChar w:fldCharType="end"/>
          </w:r>
          <w:r>
            <w:rPr>
              <w:sz w:val="32"/>
              <w:szCs w:val="32"/>
            </w:rPr>
            <w:fldChar w:fldCharType="end"/>
          </w:r>
        </w:p>
        <w:p w14:paraId="00CB144B">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_Toc27444 </w:instrText>
          </w:r>
          <w:r>
            <w:rPr>
              <w:sz w:val="32"/>
              <w:szCs w:val="32"/>
            </w:rPr>
            <w:fldChar w:fldCharType="separate"/>
          </w:r>
          <w:r>
            <w:rPr>
              <w:rFonts w:hint="eastAsia" w:ascii="楷体_GB2312" w:hAnsi="楷体_GB2312" w:eastAsia="楷体_GB2312" w:cs="楷体_GB2312"/>
              <w:bCs/>
              <w:spacing w:val="8"/>
              <w:sz w:val="32"/>
              <w:szCs w:val="32"/>
              <w:lang w:val="en-US" w:eastAsia="zh-CN"/>
            </w:rPr>
            <w:t>（三）</w:t>
          </w:r>
          <w:r>
            <w:rPr>
              <w:rFonts w:hint="default" w:ascii="楷体_GB2312" w:hAnsi="楷体_GB2312" w:eastAsia="楷体_GB2312" w:cs="楷体_GB2312"/>
              <w:bCs/>
              <w:spacing w:val="8"/>
              <w:sz w:val="32"/>
              <w:szCs w:val="32"/>
              <w:lang w:val="en-US" w:eastAsia="zh-CN"/>
            </w:rPr>
            <w:t>政策激励引导​</w:t>
          </w:r>
          <w:r>
            <w:rPr>
              <w:sz w:val="32"/>
              <w:szCs w:val="32"/>
            </w:rPr>
            <w:tab/>
          </w:r>
          <w:r>
            <w:rPr>
              <w:sz w:val="32"/>
              <w:szCs w:val="32"/>
            </w:rPr>
            <w:fldChar w:fldCharType="begin"/>
          </w:r>
          <w:r>
            <w:rPr>
              <w:sz w:val="32"/>
              <w:szCs w:val="32"/>
            </w:rPr>
            <w:instrText xml:space="preserve"> PAGEREF _Toc27444 \h </w:instrText>
          </w:r>
          <w:r>
            <w:rPr>
              <w:sz w:val="32"/>
              <w:szCs w:val="32"/>
            </w:rPr>
            <w:fldChar w:fldCharType="separate"/>
          </w:r>
          <w:r>
            <w:rPr>
              <w:sz w:val="32"/>
              <w:szCs w:val="32"/>
            </w:rPr>
            <w:t>- 11 -</w:t>
          </w:r>
          <w:r>
            <w:rPr>
              <w:sz w:val="32"/>
              <w:szCs w:val="32"/>
            </w:rPr>
            <w:fldChar w:fldCharType="end"/>
          </w:r>
          <w:r>
            <w:rPr>
              <w:sz w:val="32"/>
              <w:szCs w:val="32"/>
            </w:rPr>
            <w:fldChar w:fldCharType="end"/>
          </w:r>
        </w:p>
        <w:p w14:paraId="4F74ABE8">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_Toc24415 </w:instrText>
          </w:r>
          <w:r>
            <w:rPr>
              <w:sz w:val="32"/>
              <w:szCs w:val="32"/>
            </w:rPr>
            <w:fldChar w:fldCharType="separate"/>
          </w:r>
          <w:r>
            <w:rPr>
              <w:rFonts w:hint="eastAsia" w:ascii="楷体_GB2312" w:hAnsi="楷体_GB2312" w:eastAsia="楷体_GB2312" w:cs="楷体_GB2312"/>
              <w:bCs/>
              <w:spacing w:val="8"/>
              <w:sz w:val="32"/>
              <w:szCs w:val="32"/>
              <w:lang w:val="en-US" w:eastAsia="zh-CN"/>
            </w:rPr>
            <w:t>（四）</w:t>
          </w:r>
          <w:r>
            <w:rPr>
              <w:rFonts w:hint="default" w:ascii="楷体_GB2312" w:hAnsi="楷体_GB2312" w:eastAsia="楷体_GB2312" w:cs="楷体_GB2312"/>
              <w:bCs/>
              <w:spacing w:val="8"/>
              <w:sz w:val="32"/>
              <w:szCs w:val="32"/>
              <w:lang w:val="en-US" w:eastAsia="zh-CN"/>
            </w:rPr>
            <w:t>监督考核强化​</w:t>
          </w:r>
          <w:r>
            <w:rPr>
              <w:sz w:val="32"/>
              <w:szCs w:val="32"/>
            </w:rPr>
            <w:tab/>
          </w:r>
          <w:r>
            <w:rPr>
              <w:sz w:val="32"/>
              <w:szCs w:val="32"/>
            </w:rPr>
            <w:fldChar w:fldCharType="begin"/>
          </w:r>
          <w:r>
            <w:rPr>
              <w:sz w:val="32"/>
              <w:szCs w:val="32"/>
            </w:rPr>
            <w:instrText xml:space="preserve"> PAGEREF _Toc24415 \h </w:instrText>
          </w:r>
          <w:r>
            <w:rPr>
              <w:sz w:val="32"/>
              <w:szCs w:val="32"/>
            </w:rPr>
            <w:fldChar w:fldCharType="separate"/>
          </w:r>
          <w:r>
            <w:rPr>
              <w:sz w:val="32"/>
              <w:szCs w:val="32"/>
            </w:rPr>
            <w:t>- 11 -</w:t>
          </w:r>
          <w:r>
            <w:rPr>
              <w:sz w:val="32"/>
              <w:szCs w:val="32"/>
            </w:rPr>
            <w:fldChar w:fldCharType="end"/>
          </w:r>
          <w:r>
            <w:rPr>
              <w:sz w:val="32"/>
              <w:szCs w:val="32"/>
            </w:rPr>
            <w:fldChar w:fldCharType="end"/>
          </w:r>
        </w:p>
        <w:p w14:paraId="6BB254F9">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_Toc6810 </w:instrText>
          </w:r>
          <w:r>
            <w:rPr>
              <w:sz w:val="32"/>
              <w:szCs w:val="32"/>
            </w:rPr>
            <w:fldChar w:fldCharType="separate"/>
          </w:r>
          <w:r>
            <w:rPr>
              <w:rFonts w:hint="eastAsia" w:ascii="黑体" w:hAnsi="黑体" w:eastAsia="黑体" w:cs="黑体"/>
              <w:bCs w:val="0"/>
              <w:spacing w:val="2"/>
              <w:sz w:val="32"/>
              <w:szCs w:val="32"/>
              <w:lang w:val="en-US" w:eastAsia="zh-CN"/>
            </w:rPr>
            <w:t>三、</w:t>
          </w:r>
          <w:r>
            <w:rPr>
              <w:rFonts w:hint="default" w:ascii="黑体" w:hAnsi="黑体" w:eastAsia="黑体" w:cs="黑体"/>
              <w:bCs w:val="0"/>
              <w:spacing w:val="2"/>
              <w:sz w:val="32"/>
              <w:szCs w:val="32"/>
              <w:lang w:val="en-US" w:eastAsia="zh-CN"/>
            </w:rPr>
            <w:t>分类源头减量措施​</w:t>
          </w:r>
          <w:r>
            <w:rPr>
              <w:sz w:val="32"/>
              <w:szCs w:val="32"/>
            </w:rPr>
            <w:tab/>
          </w:r>
          <w:r>
            <w:rPr>
              <w:sz w:val="32"/>
              <w:szCs w:val="32"/>
            </w:rPr>
            <w:fldChar w:fldCharType="begin"/>
          </w:r>
          <w:r>
            <w:rPr>
              <w:sz w:val="32"/>
              <w:szCs w:val="32"/>
            </w:rPr>
            <w:instrText xml:space="preserve"> PAGEREF _Toc6810 \h </w:instrText>
          </w:r>
          <w:r>
            <w:rPr>
              <w:sz w:val="32"/>
              <w:szCs w:val="32"/>
            </w:rPr>
            <w:fldChar w:fldCharType="separate"/>
          </w:r>
          <w:r>
            <w:rPr>
              <w:sz w:val="32"/>
              <w:szCs w:val="32"/>
            </w:rPr>
            <w:t>- 11 -</w:t>
          </w:r>
          <w:r>
            <w:rPr>
              <w:sz w:val="32"/>
              <w:szCs w:val="32"/>
            </w:rPr>
            <w:fldChar w:fldCharType="end"/>
          </w:r>
          <w:r>
            <w:rPr>
              <w:sz w:val="32"/>
              <w:szCs w:val="32"/>
            </w:rPr>
            <w:fldChar w:fldCharType="end"/>
          </w:r>
        </w:p>
        <w:p w14:paraId="5E59C33C">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_Toc6506 </w:instrText>
          </w:r>
          <w:r>
            <w:rPr>
              <w:sz w:val="32"/>
              <w:szCs w:val="32"/>
            </w:rPr>
            <w:fldChar w:fldCharType="separate"/>
          </w:r>
          <w:r>
            <w:rPr>
              <w:rFonts w:hint="eastAsia" w:ascii="楷体_GB2312" w:hAnsi="楷体_GB2312" w:eastAsia="楷体_GB2312" w:cs="楷体_GB2312"/>
              <w:bCs/>
              <w:spacing w:val="8"/>
              <w:sz w:val="32"/>
              <w:szCs w:val="32"/>
              <w:lang w:val="en-US" w:eastAsia="zh-CN"/>
            </w:rPr>
            <w:t>（一）</w:t>
          </w:r>
          <w:r>
            <w:rPr>
              <w:rFonts w:hint="default" w:ascii="楷体_GB2312" w:hAnsi="楷体_GB2312" w:eastAsia="楷体_GB2312" w:cs="楷体_GB2312"/>
              <w:bCs/>
              <w:spacing w:val="8"/>
              <w:sz w:val="32"/>
              <w:szCs w:val="32"/>
              <w:lang w:val="en-US" w:eastAsia="zh-CN"/>
            </w:rPr>
            <w:t>工程渣土减量措施​</w:t>
          </w:r>
          <w:r>
            <w:rPr>
              <w:sz w:val="32"/>
              <w:szCs w:val="32"/>
            </w:rPr>
            <w:tab/>
          </w:r>
          <w:r>
            <w:rPr>
              <w:sz w:val="32"/>
              <w:szCs w:val="32"/>
            </w:rPr>
            <w:fldChar w:fldCharType="begin"/>
          </w:r>
          <w:r>
            <w:rPr>
              <w:sz w:val="32"/>
              <w:szCs w:val="32"/>
            </w:rPr>
            <w:instrText xml:space="preserve"> PAGEREF _Toc6506 \h </w:instrText>
          </w:r>
          <w:r>
            <w:rPr>
              <w:sz w:val="32"/>
              <w:szCs w:val="32"/>
            </w:rPr>
            <w:fldChar w:fldCharType="separate"/>
          </w:r>
          <w:r>
            <w:rPr>
              <w:sz w:val="32"/>
              <w:szCs w:val="32"/>
            </w:rPr>
            <w:t>- 11 -</w:t>
          </w:r>
          <w:r>
            <w:rPr>
              <w:sz w:val="32"/>
              <w:szCs w:val="32"/>
            </w:rPr>
            <w:fldChar w:fldCharType="end"/>
          </w:r>
          <w:r>
            <w:rPr>
              <w:sz w:val="32"/>
              <w:szCs w:val="32"/>
            </w:rPr>
            <w:fldChar w:fldCharType="end"/>
          </w:r>
        </w:p>
        <w:p w14:paraId="5DAFB4B7">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_Toc25699 </w:instrText>
          </w:r>
          <w:r>
            <w:rPr>
              <w:sz w:val="32"/>
              <w:szCs w:val="32"/>
            </w:rPr>
            <w:fldChar w:fldCharType="separate"/>
          </w:r>
          <w:r>
            <w:rPr>
              <w:rFonts w:hint="eastAsia" w:ascii="楷体_GB2312" w:hAnsi="楷体_GB2312" w:eastAsia="楷体_GB2312" w:cs="楷体_GB2312"/>
              <w:bCs/>
              <w:spacing w:val="8"/>
              <w:sz w:val="32"/>
              <w:szCs w:val="32"/>
              <w:lang w:val="en-US" w:eastAsia="zh-CN"/>
            </w:rPr>
            <w:t>（二）</w:t>
          </w:r>
          <w:r>
            <w:rPr>
              <w:rFonts w:hint="default" w:ascii="楷体_GB2312" w:hAnsi="楷体_GB2312" w:eastAsia="楷体_GB2312" w:cs="楷体_GB2312"/>
              <w:bCs/>
              <w:spacing w:val="8"/>
              <w:sz w:val="32"/>
              <w:szCs w:val="32"/>
              <w:lang w:val="en-US" w:eastAsia="zh-CN"/>
            </w:rPr>
            <w:t>工程垃圾减量措施​</w:t>
          </w:r>
          <w:r>
            <w:rPr>
              <w:sz w:val="32"/>
              <w:szCs w:val="32"/>
            </w:rPr>
            <w:tab/>
          </w:r>
          <w:r>
            <w:rPr>
              <w:sz w:val="32"/>
              <w:szCs w:val="32"/>
            </w:rPr>
            <w:fldChar w:fldCharType="begin"/>
          </w:r>
          <w:r>
            <w:rPr>
              <w:sz w:val="32"/>
              <w:szCs w:val="32"/>
            </w:rPr>
            <w:instrText xml:space="preserve"> PAGEREF _Toc25699 \h </w:instrText>
          </w:r>
          <w:r>
            <w:rPr>
              <w:sz w:val="32"/>
              <w:szCs w:val="32"/>
            </w:rPr>
            <w:fldChar w:fldCharType="separate"/>
          </w:r>
          <w:r>
            <w:rPr>
              <w:sz w:val="32"/>
              <w:szCs w:val="32"/>
            </w:rPr>
            <w:t>- 12 -</w:t>
          </w:r>
          <w:r>
            <w:rPr>
              <w:sz w:val="32"/>
              <w:szCs w:val="32"/>
            </w:rPr>
            <w:fldChar w:fldCharType="end"/>
          </w:r>
          <w:r>
            <w:rPr>
              <w:sz w:val="32"/>
              <w:szCs w:val="32"/>
            </w:rPr>
            <w:fldChar w:fldCharType="end"/>
          </w:r>
        </w:p>
        <w:p w14:paraId="12B99B67">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_Toc25190 </w:instrText>
          </w:r>
          <w:r>
            <w:rPr>
              <w:sz w:val="32"/>
              <w:szCs w:val="32"/>
            </w:rPr>
            <w:fldChar w:fldCharType="separate"/>
          </w:r>
          <w:r>
            <w:rPr>
              <w:rFonts w:hint="eastAsia" w:ascii="楷体_GB2312" w:hAnsi="楷体_GB2312" w:eastAsia="楷体_GB2312" w:cs="楷体_GB2312"/>
              <w:bCs/>
              <w:spacing w:val="8"/>
              <w:sz w:val="32"/>
              <w:szCs w:val="32"/>
              <w:lang w:val="en-US" w:eastAsia="zh-CN"/>
            </w:rPr>
            <w:t>（三）</w:t>
          </w:r>
          <w:r>
            <w:rPr>
              <w:rFonts w:hint="default" w:ascii="楷体_GB2312" w:hAnsi="楷体_GB2312" w:eastAsia="楷体_GB2312" w:cs="楷体_GB2312"/>
              <w:bCs/>
              <w:spacing w:val="8"/>
              <w:sz w:val="32"/>
              <w:szCs w:val="32"/>
              <w:lang w:val="en-US" w:eastAsia="zh-CN"/>
            </w:rPr>
            <w:t>拆除垃圾减量措施​</w:t>
          </w:r>
          <w:r>
            <w:rPr>
              <w:sz w:val="32"/>
              <w:szCs w:val="32"/>
            </w:rPr>
            <w:tab/>
          </w:r>
          <w:r>
            <w:rPr>
              <w:sz w:val="32"/>
              <w:szCs w:val="32"/>
            </w:rPr>
            <w:fldChar w:fldCharType="begin"/>
          </w:r>
          <w:r>
            <w:rPr>
              <w:sz w:val="32"/>
              <w:szCs w:val="32"/>
            </w:rPr>
            <w:instrText xml:space="preserve"> PAGEREF _Toc25190 \h </w:instrText>
          </w:r>
          <w:r>
            <w:rPr>
              <w:sz w:val="32"/>
              <w:szCs w:val="32"/>
            </w:rPr>
            <w:fldChar w:fldCharType="separate"/>
          </w:r>
          <w:r>
            <w:rPr>
              <w:sz w:val="32"/>
              <w:szCs w:val="32"/>
            </w:rPr>
            <w:t>- 12 -</w:t>
          </w:r>
          <w:r>
            <w:rPr>
              <w:sz w:val="32"/>
              <w:szCs w:val="32"/>
            </w:rPr>
            <w:fldChar w:fldCharType="end"/>
          </w:r>
          <w:r>
            <w:rPr>
              <w:sz w:val="32"/>
              <w:szCs w:val="32"/>
            </w:rPr>
            <w:fldChar w:fldCharType="end"/>
          </w:r>
        </w:p>
        <w:p w14:paraId="64A8EA9E">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_Toc27653 </w:instrText>
          </w:r>
          <w:r>
            <w:rPr>
              <w:sz w:val="32"/>
              <w:szCs w:val="32"/>
            </w:rPr>
            <w:fldChar w:fldCharType="separate"/>
          </w:r>
          <w:r>
            <w:rPr>
              <w:rFonts w:hint="eastAsia" w:ascii="楷体_GB2312" w:hAnsi="楷体_GB2312" w:eastAsia="楷体_GB2312" w:cs="楷体_GB2312"/>
              <w:bCs/>
              <w:spacing w:val="8"/>
              <w:sz w:val="32"/>
              <w:szCs w:val="32"/>
              <w:lang w:val="en-US" w:eastAsia="zh-CN"/>
            </w:rPr>
            <w:t>（四）</w:t>
          </w:r>
          <w:r>
            <w:rPr>
              <w:rFonts w:hint="default" w:ascii="楷体_GB2312" w:hAnsi="楷体_GB2312" w:eastAsia="楷体_GB2312" w:cs="楷体_GB2312"/>
              <w:bCs/>
              <w:spacing w:val="8"/>
              <w:sz w:val="32"/>
              <w:szCs w:val="32"/>
              <w:lang w:val="en-US" w:eastAsia="zh-CN"/>
            </w:rPr>
            <w:t>装修垃圾减量措施​</w:t>
          </w:r>
          <w:r>
            <w:rPr>
              <w:sz w:val="32"/>
              <w:szCs w:val="32"/>
            </w:rPr>
            <w:tab/>
          </w:r>
          <w:r>
            <w:rPr>
              <w:sz w:val="32"/>
              <w:szCs w:val="32"/>
            </w:rPr>
            <w:fldChar w:fldCharType="begin"/>
          </w:r>
          <w:r>
            <w:rPr>
              <w:sz w:val="32"/>
              <w:szCs w:val="32"/>
            </w:rPr>
            <w:instrText xml:space="preserve"> PAGEREF _Toc27653 \h </w:instrText>
          </w:r>
          <w:r>
            <w:rPr>
              <w:sz w:val="32"/>
              <w:szCs w:val="32"/>
            </w:rPr>
            <w:fldChar w:fldCharType="separate"/>
          </w:r>
          <w:r>
            <w:rPr>
              <w:sz w:val="32"/>
              <w:szCs w:val="32"/>
            </w:rPr>
            <w:t>- 12 -</w:t>
          </w:r>
          <w:r>
            <w:rPr>
              <w:sz w:val="32"/>
              <w:szCs w:val="32"/>
            </w:rPr>
            <w:fldChar w:fldCharType="end"/>
          </w:r>
          <w:r>
            <w:rPr>
              <w:sz w:val="32"/>
              <w:szCs w:val="32"/>
            </w:rPr>
            <w:fldChar w:fldCharType="end"/>
          </w:r>
        </w:p>
        <w:p w14:paraId="08ECFC49">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_Toc8929 </w:instrText>
          </w:r>
          <w:r>
            <w:rPr>
              <w:sz w:val="32"/>
              <w:szCs w:val="32"/>
            </w:rPr>
            <w:fldChar w:fldCharType="separate"/>
          </w:r>
          <w:r>
            <w:rPr>
              <w:rFonts w:hint="eastAsia" w:ascii="黑体" w:hAnsi="黑体" w:eastAsia="黑体" w:cs="黑体"/>
              <w:spacing w:val="7"/>
              <w:sz w:val="32"/>
              <w:szCs w:val="32"/>
              <w:lang w:val="en-US" w:eastAsia="zh-CN"/>
            </w:rPr>
            <w:t>第五章 收集运输</w:t>
          </w:r>
          <w:r>
            <w:rPr>
              <w:sz w:val="32"/>
              <w:szCs w:val="32"/>
            </w:rPr>
            <w:tab/>
          </w:r>
          <w:r>
            <w:rPr>
              <w:sz w:val="32"/>
              <w:szCs w:val="32"/>
            </w:rPr>
            <w:fldChar w:fldCharType="begin"/>
          </w:r>
          <w:r>
            <w:rPr>
              <w:sz w:val="32"/>
              <w:szCs w:val="32"/>
            </w:rPr>
            <w:instrText xml:space="preserve"> PAGEREF _Toc8929 \h </w:instrText>
          </w:r>
          <w:r>
            <w:rPr>
              <w:sz w:val="32"/>
              <w:szCs w:val="32"/>
            </w:rPr>
            <w:fldChar w:fldCharType="separate"/>
          </w:r>
          <w:r>
            <w:rPr>
              <w:sz w:val="32"/>
              <w:szCs w:val="32"/>
            </w:rPr>
            <w:t>- 13 -</w:t>
          </w:r>
          <w:r>
            <w:rPr>
              <w:sz w:val="32"/>
              <w:szCs w:val="32"/>
            </w:rPr>
            <w:fldChar w:fldCharType="end"/>
          </w:r>
          <w:r>
            <w:rPr>
              <w:sz w:val="32"/>
              <w:szCs w:val="32"/>
            </w:rPr>
            <w:fldChar w:fldCharType="end"/>
          </w:r>
        </w:p>
        <w:p w14:paraId="5C423611">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_Toc10004 </w:instrText>
          </w:r>
          <w:r>
            <w:rPr>
              <w:sz w:val="32"/>
              <w:szCs w:val="32"/>
            </w:rPr>
            <w:fldChar w:fldCharType="separate"/>
          </w:r>
          <w:r>
            <w:rPr>
              <w:rFonts w:hint="eastAsia" w:ascii="黑体" w:hAnsi="黑体" w:eastAsia="黑体" w:cs="黑体"/>
              <w:bCs w:val="0"/>
              <w:spacing w:val="2"/>
              <w:sz w:val="32"/>
              <w:szCs w:val="32"/>
              <w:lang w:val="en-US" w:eastAsia="zh-CN"/>
            </w:rPr>
            <w:t>一、收运模式</w:t>
          </w:r>
          <w:r>
            <w:rPr>
              <w:sz w:val="32"/>
              <w:szCs w:val="32"/>
            </w:rPr>
            <w:tab/>
          </w:r>
          <w:r>
            <w:rPr>
              <w:sz w:val="32"/>
              <w:szCs w:val="32"/>
            </w:rPr>
            <w:fldChar w:fldCharType="begin"/>
          </w:r>
          <w:r>
            <w:rPr>
              <w:sz w:val="32"/>
              <w:szCs w:val="32"/>
            </w:rPr>
            <w:instrText xml:space="preserve"> PAGEREF _Toc10004 \h </w:instrText>
          </w:r>
          <w:r>
            <w:rPr>
              <w:sz w:val="32"/>
              <w:szCs w:val="32"/>
            </w:rPr>
            <w:fldChar w:fldCharType="separate"/>
          </w:r>
          <w:r>
            <w:rPr>
              <w:sz w:val="32"/>
              <w:szCs w:val="32"/>
            </w:rPr>
            <w:t>- 13 -</w:t>
          </w:r>
          <w:r>
            <w:rPr>
              <w:sz w:val="32"/>
              <w:szCs w:val="32"/>
            </w:rPr>
            <w:fldChar w:fldCharType="end"/>
          </w:r>
          <w:r>
            <w:rPr>
              <w:sz w:val="32"/>
              <w:szCs w:val="32"/>
            </w:rPr>
            <w:fldChar w:fldCharType="end"/>
          </w:r>
        </w:p>
        <w:p w14:paraId="28F502C2">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_Toc29781 </w:instrText>
          </w:r>
          <w:r>
            <w:rPr>
              <w:sz w:val="32"/>
              <w:szCs w:val="32"/>
            </w:rPr>
            <w:fldChar w:fldCharType="separate"/>
          </w:r>
          <w:r>
            <w:rPr>
              <w:rFonts w:hint="eastAsia" w:ascii="黑体" w:hAnsi="黑体" w:eastAsia="黑体" w:cs="黑体"/>
              <w:bCs w:val="0"/>
              <w:spacing w:val="2"/>
              <w:sz w:val="32"/>
              <w:szCs w:val="32"/>
              <w:lang w:val="en-US" w:eastAsia="zh-CN"/>
            </w:rPr>
            <w:t>二、收运要求</w:t>
          </w:r>
          <w:r>
            <w:rPr>
              <w:sz w:val="32"/>
              <w:szCs w:val="32"/>
            </w:rPr>
            <w:tab/>
          </w:r>
          <w:r>
            <w:rPr>
              <w:sz w:val="32"/>
              <w:szCs w:val="32"/>
            </w:rPr>
            <w:fldChar w:fldCharType="begin"/>
          </w:r>
          <w:r>
            <w:rPr>
              <w:sz w:val="32"/>
              <w:szCs w:val="32"/>
            </w:rPr>
            <w:instrText xml:space="preserve"> PAGEREF _Toc29781 \h </w:instrText>
          </w:r>
          <w:r>
            <w:rPr>
              <w:sz w:val="32"/>
              <w:szCs w:val="32"/>
            </w:rPr>
            <w:fldChar w:fldCharType="separate"/>
          </w:r>
          <w:r>
            <w:rPr>
              <w:sz w:val="32"/>
              <w:szCs w:val="32"/>
            </w:rPr>
            <w:t>- 13 -</w:t>
          </w:r>
          <w:r>
            <w:rPr>
              <w:sz w:val="32"/>
              <w:szCs w:val="32"/>
            </w:rPr>
            <w:fldChar w:fldCharType="end"/>
          </w:r>
          <w:r>
            <w:rPr>
              <w:sz w:val="32"/>
              <w:szCs w:val="32"/>
            </w:rPr>
            <w:fldChar w:fldCharType="end"/>
          </w:r>
        </w:p>
        <w:p w14:paraId="14079FFF">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_Toc17012 </w:instrText>
          </w:r>
          <w:r>
            <w:rPr>
              <w:sz w:val="32"/>
              <w:szCs w:val="32"/>
            </w:rPr>
            <w:fldChar w:fldCharType="separate"/>
          </w:r>
          <w:r>
            <w:rPr>
              <w:rFonts w:hint="eastAsia" w:ascii="楷体_GB2312" w:hAnsi="楷体_GB2312" w:eastAsia="楷体_GB2312" w:cs="楷体_GB2312"/>
              <w:bCs/>
              <w:spacing w:val="8"/>
              <w:sz w:val="32"/>
              <w:szCs w:val="32"/>
              <w:lang w:val="en-US" w:eastAsia="zh-CN"/>
            </w:rPr>
            <w:t>（一）核准资质</w:t>
          </w:r>
          <w:r>
            <w:rPr>
              <w:sz w:val="32"/>
              <w:szCs w:val="32"/>
            </w:rPr>
            <w:tab/>
          </w:r>
          <w:r>
            <w:rPr>
              <w:sz w:val="32"/>
              <w:szCs w:val="32"/>
            </w:rPr>
            <w:fldChar w:fldCharType="begin"/>
          </w:r>
          <w:r>
            <w:rPr>
              <w:sz w:val="32"/>
              <w:szCs w:val="32"/>
            </w:rPr>
            <w:instrText xml:space="preserve"> PAGEREF _Toc17012 \h </w:instrText>
          </w:r>
          <w:r>
            <w:rPr>
              <w:sz w:val="32"/>
              <w:szCs w:val="32"/>
            </w:rPr>
            <w:fldChar w:fldCharType="separate"/>
          </w:r>
          <w:r>
            <w:rPr>
              <w:sz w:val="32"/>
              <w:szCs w:val="32"/>
            </w:rPr>
            <w:t>- 13 -</w:t>
          </w:r>
          <w:r>
            <w:rPr>
              <w:sz w:val="32"/>
              <w:szCs w:val="32"/>
            </w:rPr>
            <w:fldChar w:fldCharType="end"/>
          </w:r>
          <w:r>
            <w:rPr>
              <w:sz w:val="32"/>
              <w:szCs w:val="32"/>
            </w:rPr>
            <w:fldChar w:fldCharType="end"/>
          </w:r>
        </w:p>
        <w:p w14:paraId="2724C5B5">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_Toc11298 </w:instrText>
          </w:r>
          <w:r>
            <w:rPr>
              <w:sz w:val="32"/>
              <w:szCs w:val="32"/>
            </w:rPr>
            <w:fldChar w:fldCharType="separate"/>
          </w:r>
          <w:r>
            <w:rPr>
              <w:rFonts w:hint="eastAsia" w:ascii="楷体_GB2312" w:hAnsi="楷体_GB2312" w:eastAsia="楷体_GB2312" w:cs="楷体_GB2312"/>
              <w:bCs/>
              <w:spacing w:val="8"/>
              <w:sz w:val="32"/>
              <w:szCs w:val="32"/>
              <w:lang w:val="en-US" w:eastAsia="zh-CN"/>
            </w:rPr>
            <w:t>（二）分类收集</w:t>
          </w:r>
          <w:r>
            <w:rPr>
              <w:sz w:val="32"/>
              <w:szCs w:val="32"/>
            </w:rPr>
            <w:tab/>
          </w:r>
          <w:r>
            <w:rPr>
              <w:sz w:val="32"/>
              <w:szCs w:val="32"/>
            </w:rPr>
            <w:fldChar w:fldCharType="begin"/>
          </w:r>
          <w:r>
            <w:rPr>
              <w:sz w:val="32"/>
              <w:szCs w:val="32"/>
            </w:rPr>
            <w:instrText xml:space="preserve"> PAGEREF _Toc11298 \h </w:instrText>
          </w:r>
          <w:r>
            <w:rPr>
              <w:sz w:val="32"/>
              <w:szCs w:val="32"/>
            </w:rPr>
            <w:fldChar w:fldCharType="separate"/>
          </w:r>
          <w:r>
            <w:rPr>
              <w:sz w:val="32"/>
              <w:szCs w:val="32"/>
            </w:rPr>
            <w:t>- 13 -</w:t>
          </w:r>
          <w:r>
            <w:rPr>
              <w:sz w:val="32"/>
              <w:szCs w:val="32"/>
            </w:rPr>
            <w:fldChar w:fldCharType="end"/>
          </w:r>
          <w:r>
            <w:rPr>
              <w:sz w:val="32"/>
              <w:szCs w:val="32"/>
            </w:rPr>
            <w:fldChar w:fldCharType="end"/>
          </w:r>
        </w:p>
        <w:p w14:paraId="33097093">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_Toc20968 </w:instrText>
          </w:r>
          <w:r>
            <w:rPr>
              <w:sz w:val="32"/>
              <w:szCs w:val="32"/>
            </w:rPr>
            <w:fldChar w:fldCharType="separate"/>
          </w:r>
          <w:r>
            <w:rPr>
              <w:rFonts w:hint="eastAsia" w:ascii="楷体_GB2312" w:hAnsi="楷体_GB2312" w:eastAsia="楷体_GB2312" w:cs="楷体_GB2312"/>
              <w:bCs/>
              <w:spacing w:val="8"/>
              <w:sz w:val="32"/>
              <w:szCs w:val="32"/>
              <w:lang w:val="en-US" w:eastAsia="zh-CN"/>
            </w:rPr>
            <w:t>（三）密闭运输</w:t>
          </w:r>
          <w:r>
            <w:rPr>
              <w:sz w:val="32"/>
              <w:szCs w:val="32"/>
            </w:rPr>
            <w:tab/>
          </w:r>
          <w:r>
            <w:rPr>
              <w:sz w:val="32"/>
              <w:szCs w:val="32"/>
            </w:rPr>
            <w:fldChar w:fldCharType="begin"/>
          </w:r>
          <w:r>
            <w:rPr>
              <w:sz w:val="32"/>
              <w:szCs w:val="32"/>
            </w:rPr>
            <w:instrText xml:space="preserve"> PAGEREF _Toc20968 \h </w:instrText>
          </w:r>
          <w:r>
            <w:rPr>
              <w:sz w:val="32"/>
              <w:szCs w:val="32"/>
            </w:rPr>
            <w:fldChar w:fldCharType="separate"/>
          </w:r>
          <w:r>
            <w:rPr>
              <w:sz w:val="32"/>
              <w:szCs w:val="32"/>
            </w:rPr>
            <w:t>- 13 -</w:t>
          </w:r>
          <w:r>
            <w:rPr>
              <w:sz w:val="32"/>
              <w:szCs w:val="32"/>
            </w:rPr>
            <w:fldChar w:fldCharType="end"/>
          </w:r>
          <w:r>
            <w:rPr>
              <w:sz w:val="32"/>
              <w:szCs w:val="32"/>
            </w:rPr>
            <w:fldChar w:fldCharType="end"/>
          </w:r>
        </w:p>
        <w:p w14:paraId="76D726B7">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_Toc23383 </w:instrText>
          </w:r>
          <w:r>
            <w:rPr>
              <w:sz w:val="32"/>
              <w:szCs w:val="32"/>
            </w:rPr>
            <w:fldChar w:fldCharType="separate"/>
          </w:r>
          <w:r>
            <w:rPr>
              <w:rFonts w:hint="eastAsia" w:ascii="楷体_GB2312" w:hAnsi="楷体_GB2312" w:eastAsia="楷体_GB2312" w:cs="楷体_GB2312"/>
              <w:bCs/>
              <w:spacing w:val="8"/>
              <w:sz w:val="32"/>
              <w:szCs w:val="32"/>
              <w:lang w:val="en-US" w:eastAsia="zh-CN"/>
            </w:rPr>
            <w:t>（四）运输路线</w:t>
          </w:r>
          <w:r>
            <w:rPr>
              <w:sz w:val="32"/>
              <w:szCs w:val="32"/>
            </w:rPr>
            <w:tab/>
          </w:r>
          <w:r>
            <w:rPr>
              <w:sz w:val="32"/>
              <w:szCs w:val="32"/>
            </w:rPr>
            <w:fldChar w:fldCharType="begin"/>
          </w:r>
          <w:r>
            <w:rPr>
              <w:sz w:val="32"/>
              <w:szCs w:val="32"/>
            </w:rPr>
            <w:instrText xml:space="preserve"> PAGEREF _Toc23383 \h </w:instrText>
          </w:r>
          <w:r>
            <w:rPr>
              <w:sz w:val="32"/>
              <w:szCs w:val="32"/>
            </w:rPr>
            <w:fldChar w:fldCharType="separate"/>
          </w:r>
          <w:r>
            <w:rPr>
              <w:sz w:val="32"/>
              <w:szCs w:val="32"/>
            </w:rPr>
            <w:t>- 13 -</w:t>
          </w:r>
          <w:r>
            <w:rPr>
              <w:sz w:val="32"/>
              <w:szCs w:val="32"/>
            </w:rPr>
            <w:fldChar w:fldCharType="end"/>
          </w:r>
          <w:r>
            <w:rPr>
              <w:sz w:val="32"/>
              <w:szCs w:val="32"/>
            </w:rPr>
            <w:fldChar w:fldCharType="end"/>
          </w:r>
        </w:p>
        <w:p w14:paraId="0A7A963C">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_Toc9522 </w:instrText>
          </w:r>
          <w:r>
            <w:rPr>
              <w:sz w:val="32"/>
              <w:szCs w:val="32"/>
            </w:rPr>
            <w:fldChar w:fldCharType="separate"/>
          </w:r>
          <w:r>
            <w:rPr>
              <w:rFonts w:hint="eastAsia" w:ascii="黑体" w:hAnsi="黑体" w:eastAsia="黑体" w:cs="黑体"/>
              <w:bCs w:val="0"/>
              <w:spacing w:val="2"/>
              <w:sz w:val="32"/>
              <w:szCs w:val="32"/>
              <w:lang w:val="en-US" w:eastAsia="zh-CN"/>
            </w:rPr>
            <w:t>三、分类收运</w:t>
          </w:r>
          <w:r>
            <w:rPr>
              <w:sz w:val="32"/>
              <w:szCs w:val="32"/>
            </w:rPr>
            <w:tab/>
          </w:r>
          <w:r>
            <w:rPr>
              <w:sz w:val="32"/>
              <w:szCs w:val="32"/>
            </w:rPr>
            <w:fldChar w:fldCharType="begin"/>
          </w:r>
          <w:r>
            <w:rPr>
              <w:sz w:val="32"/>
              <w:szCs w:val="32"/>
            </w:rPr>
            <w:instrText xml:space="preserve"> PAGEREF _Toc9522 \h </w:instrText>
          </w:r>
          <w:r>
            <w:rPr>
              <w:sz w:val="32"/>
              <w:szCs w:val="32"/>
            </w:rPr>
            <w:fldChar w:fldCharType="separate"/>
          </w:r>
          <w:r>
            <w:rPr>
              <w:sz w:val="32"/>
              <w:szCs w:val="32"/>
            </w:rPr>
            <w:t>- 13 -</w:t>
          </w:r>
          <w:r>
            <w:rPr>
              <w:sz w:val="32"/>
              <w:szCs w:val="32"/>
            </w:rPr>
            <w:fldChar w:fldCharType="end"/>
          </w:r>
          <w:r>
            <w:rPr>
              <w:sz w:val="32"/>
              <w:szCs w:val="32"/>
            </w:rPr>
            <w:fldChar w:fldCharType="end"/>
          </w:r>
        </w:p>
        <w:p w14:paraId="3443DE51">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_Toc20954 </w:instrText>
          </w:r>
          <w:r>
            <w:rPr>
              <w:sz w:val="32"/>
              <w:szCs w:val="32"/>
            </w:rPr>
            <w:fldChar w:fldCharType="separate"/>
          </w:r>
          <w:r>
            <w:rPr>
              <w:rFonts w:hint="eastAsia" w:ascii="楷体_GB2312" w:hAnsi="楷体_GB2312" w:eastAsia="楷体_GB2312" w:cs="楷体_GB2312"/>
              <w:bCs/>
              <w:spacing w:val="8"/>
              <w:sz w:val="32"/>
              <w:szCs w:val="32"/>
              <w:lang w:val="en-US" w:eastAsia="zh-CN"/>
            </w:rPr>
            <w:t>（一）工程渣土、工程泥浆、工程垃圾和拆除垃圾</w:t>
          </w:r>
          <w:r>
            <w:rPr>
              <w:sz w:val="32"/>
              <w:szCs w:val="32"/>
            </w:rPr>
            <w:tab/>
          </w:r>
          <w:r>
            <w:rPr>
              <w:sz w:val="32"/>
              <w:szCs w:val="32"/>
            </w:rPr>
            <w:fldChar w:fldCharType="begin"/>
          </w:r>
          <w:r>
            <w:rPr>
              <w:sz w:val="32"/>
              <w:szCs w:val="32"/>
            </w:rPr>
            <w:instrText xml:space="preserve"> PAGEREF _Toc20954 \h </w:instrText>
          </w:r>
          <w:r>
            <w:rPr>
              <w:sz w:val="32"/>
              <w:szCs w:val="32"/>
            </w:rPr>
            <w:fldChar w:fldCharType="separate"/>
          </w:r>
          <w:r>
            <w:rPr>
              <w:sz w:val="32"/>
              <w:szCs w:val="32"/>
            </w:rPr>
            <w:t>- 13 -</w:t>
          </w:r>
          <w:r>
            <w:rPr>
              <w:sz w:val="32"/>
              <w:szCs w:val="32"/>
            </w:rPr>
            <w:fldChar w:fldCharType="end"/>
          </w:r>
          <w:r>
            <w:rPr>
              <w:sz w:val="32"/>
              <w:szCs w:val="32"/>
            </w:rPr>
            <w:fldChar w:fldCharType="end"/>
          </w:r>
        </w:p>
        <w:p w14:paraId="5B892BB5">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_Toc14118 </w:instrText>
          </w:r>
          <w:r>
            <w:rPr>
              <w:sz w:val="32"/>
              <w:szCs w:val="32"/>
            </w:rPr>
            <w:fldChar w:fldCharType="separate"/>
          </w:r>
          <w:r>
            <w:rPr>
              <w:rFonts w:hint="eastAsia" w:ascii="楷体_GB2312" w:hAnsi="楷体_GB2312" w:eastAsia="楷体_GB2312" w:cs="楷体_GB2312"/>
              <w:bCs/>
              <w:spacing w:val="8"/>
              <w:sz w:val="32"/>
              <w:szCs w:val="32"/>
              <w:lang w:val="en-US" w:eastAsia="zh-CN"/>
            </w:rPr>
            <w:t>（二）装修垃圾</w:t>
          </w:r>
          <w:r>
            <w:rPr>
              <w:sz w:val="32"/>
              <w:szCs w:val="32"/>
            </w:rPr>
            <w:tab/>
          </w:r>
          <w:r>
            <w:rPr>
              <w:sz w:val="32"/>
              <w:szCs w:val="32"/>
            </w:rPr>
            <w:fldChar w:fldCharType="begin"/>
          </w:r>
          <w:r>
            <w:rPr>
              <w:sz w:val="32"/>
              <w:szCs w:val="32"/>
            </w:rPr>
            <w:instrText xml:space="preserve"> PAGEREF _Toc14118 \h </w:instrText>
          </w:r>
          <w:r>
            <w:rPr>
              <w:sz w:val="32"/>
              <w:szCs w:val="32"/>
            </w:rPr>
            <w:fldChar w:fldCharType="separate"/>
          </w:r>
          <w:r>
            <w:rPr>
              <w:sz w:val="32"/>
              <w:szCs w:val="32"/>
            </w:rPr>
            <w:t>- 14 -</w:t>
          </w:r>
          <w:r>
            <w:rPr>
              <w:sz w:val="32"/>
              <w:szCs w:val="32"/>
            </w:rPr>
            <w:fldChar w:fldCharType="end"/>
          </w:r>
          <w:r>
            <w:rPr>
              <w:sz w:val="32"/>
              <w:szCs w:val="32"/>
            </w:rPr>
            <w:fldChar w:fldCharType="end"/>
          </w:r>
        </w:p>
        <w:p w14:paraId="1714814E">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_Toc26537 </w:instrText>
          </w:r>
          <w:r>
            <w:rPr>
              <w:sz w:val="32"/>
              <w:szCs w:val="32"/>
            </w:rPr>
            <w:fldChar w:fldCharType="separate"/>
          </w:r>
          <w:r>
            <w:rPr>
              <w:rFonts w:hint="eastAsia" w:ascii="黑体" w:hAnsi="黑体" w:eastAsia="黑体" w:cs="黑体"/>
              <w:bCs w:val="0"/>
              <w:spacing w:val="2"/>
              <w:sz w:val="32"/>
              <w:szCs w:val="32"/>
              <w:lang w:val="en-US" w:eastAsia="zh-CN"/>
            </w:rPr>
            <w:t>四、收运设施设备</w:t>
          </w:r>
          <w:r>
            <w:rPr>
              <w:sz w:val="32"/>
              <w:szCs w:val="32"/>
            </w:rPr>
            <w:tab/>
          </w:r>
          <w:r>
            <w:rPr>
              <w:sz w:val="32"/>
              <w:szCs w:val="32"/>
            </w:rPr>
            <w:fldChar w:fldCharType="begin"/>
          </w:r>
          <w:r>
            <w:rPr>
              <w:sz w:val="32"/>
              <w:szCs w:val="32"/>
            </w:rPr>
            <w:instrText xml:space="preserve"> PAGEREF _Toc26537 \h </w:instrText>
          </w:r>
          <w:r>
            <w:rPr>
              <w:sz w:val="32"/>
              <w:szCs w:val="32"/>
            </w:rPr>
            <w:fldChar w:fldCharType="separate"/>
          </w:r>
          <w:r>
            <w:rPr>
              <w:sz w:val="32"/>
              <w:szCs w:val="32"/>
            </w:rPr>
            <w:t>- 14 -</w:t>
          </w:r>
          <w:r>
            <w:rPr>
              <w:sz w:val="32"/>
              <w:szCs w:val="32"/>
            </w:rPr>
            <w:fldChar w:fldCharType="end"/>
          </w:r>
          <w:r>
            <w:rPr>
              <w:sz w:val="32"/>
              <w:szCs w:val="32"/>
            </w:rPr>
            <w:fldChar w:fldCharType="end"/>
          </w:r>
        </w:p>
        <w:p w14:paraId="360482F8">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_Toc3674 </w:instrText>
          </w:r>
          <w:r>
            <w:rPr>
              <w:sz w:val="32"/>
              <w:szCs w:val="32"/>
            </w:rPr>
            <w:fldChar w:fldCharType="separate"/>
          </w:r>
          <w:r>
            <w:rPr>
              <w:rFonts w:hint="eastAsia" w:ascii="楷体_GB2312" w:hAnsi="楷体_GB2312" w:eastAsia="楷体_GB2312" w:cs="楷体_GB2312"/>
              <w:bCs/>
              <w:spacing w:val="8"/>
              <w:sz w:val="32"/>
              <w:szCs w:val="32"/>
              <w:lang w:val="en-US" w:eastAsia="zh-CN"/>
            </w:rPr>
            <w:t>（一）装修垃圾分类投放点</w:t>
          </w:r>
          <w:r>
            <w:rPr>
              <w:sz w:val="32"/>
              <w:szCs w:val="32"/>
            </w:rPr>
            <w:tab/>
          </w:r>
          <w:r>
            <w:rPr>
              <w:sz w:val="32"/>
              <w:szCs w:val="32"/>
            </w:rPr>
            <w:fldChar w:fldCharType="begin"/>
          </w:r>
          <w:r>
            <w:rPr>
              <w:sz w:val="32"/>
              <w:szCs w:val="32"/>
            </w:rPr>
            <w:instrText xml:space="preserve"> PAGEREF _Toc3674 \h </w:instrText>
          </w:r>
          <w:r>
            <w:rPr>
              <w:sz w:val="32"/>
              <w:szCs w:val="32"/>
            </w:rPr>
            <w:fldChar w:fldCharType="separate"/>
          </w:r>
          <w:r>
            <w:rPr>
              <w:sz w:val="32"/>
              <w:szCs w:val="32"/>
            </w:rPr>
            <w:t>- 14 -</w:t>
          </w:r>
          <w:r>
            <w:rPr>
              <w:sz w:val="32"/>
              <w:szCs w:val="32"/>
            </w:rPr>
            <w:fldChar w:fldCharType="end"/>
          </w:r>
          <w:r>
            <w:rPr>
              <w:sz w:val="32"/>
              <w:szCs w:val="32"/>
            </w:rPr>
            <w:fldChar w:fldCharType="end"/>
          </w:r>
        </w:p>
        <w:p w14:paraId="3D40EE73">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_Toc9546 </w:instrText>
          </w:r>
          <w:r>
            <w:rPr>
              <w:sz w:val="32"/>
              <w:szCs w:val="32"/>
            </w:rPr>
            <w:fldChar w:fldCharType="separate"/>
          </w:r>
          <w:r>
            <w:rPr>
              <w:rFonts w:hint="eastAsia" w:ascii="楷体_GB2312" w:hAnsi="楷体_GB2312" w:eastAsia="楷体_GB2312" w:cs="楷体_GB2312"/>
              <w:bCs/>
              <w:spacing w:val="8"/>
              <w:sz w:val="32"/>
              <w:szCs w:val="32"/>
              <w:lang w:val="en-US" w:eastAsia="zh-CN"/>
            </w:rPr>
            <w:t>（二）收运车辆</w:t>
          </w:r>
          <w:r>
            <w:rPr>
              <w:sz w:val="32"/>
              <w:szCs w:val="32"/>
            </w:rPr>
            <w:tab/>
          </w:r>
          <w:r>
            <w:rPr>
              <w:sz w:val="32"/>
              <w:szCs w:val="32"/>
            </w:rPr>
            <w:fldChar w:fldCharType="begin"/>
          </w:r>
          <w:r>
            <w:rPr>
              <w:sz w:val="32"/>
              <w:szCs w:val="32"/>
            </w:rPr>
            <w:instrText xml:space="preserve"> PAGEREF _Toc9546 \h </w:instrText>
          </w:r>
          <w:r>
            <w:rPr>
              <w:sz w:val="32"/>
              <w:szCs w:val="32"/>
            </w:rPr>
            <w:fldChar w:fldCharType="separate"/>
          </w:r>
          <w:r>
            <w:rPr>
              <w:sz w:val="32"/>
              <w:szCs w:val="32"/>
            </w:rPr>
            <w:t>- 14 -</w:t>
          </w:r>
          <w:r>
            <w:rPr>
              <w:sz w:val="32"/>
              <w:szCs w:val="32"/>
            </w:rPr>
            <w:fldChar w:fldCharType="end"/>
          </w:r>
          <w:r>
            <w:rPr>
              <w:sz w:val="32"/>
              <w:szCs w:val="32"/>
            </w:rPr>
            <w:fldChar w:fldCharType="end"/>
          </w:r>
        </w:p>
        <w:p w14:paraId="6F241CC0">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_Toc25694 </w:instrText>
          </w:r>
          <w:r>
            <w:rPr>
              <w:sz w:val="32"/>
              <w:szCs w:val="32"/>
            </w:rPr>
            <w:fldChar w:fldCharType="separate"/>
          </w:r>
          <w:r>
            <w:rPr>
              <w:rFonts w:hint="eastAsia" w:ascii="楷体_GB2312" w:hAnsi="楷体_GB2312" w:eastAsia="楷体_GB2312" w:cs="楷体_GB2312"/>
              <w:bCs/>
              <w:spacing w:val="8"/>
              <w:sz w:val="32"/>
              <w:szCs w:val="32"/>
              <w:lang w:val="en-US" w:eastAsia="zh-CN"/>
            </w:rPr>
            <w:t>（三）垃圾中转站</w:t>
          </w:r>
          <w:r>
            <w:rPr>
              <w:sz w:val="32"/>
              <w:szCs w:val="32"/>
            </w:rPr>
            <w:tab/>
          </w:r>
          <w:r>
            <w:rPr>
              <w:sz w:val="32"/>
              <w:szCs w:val="32"/>
            </w:rPr>
            <w:fldChar w:fldCharType="begin"/>
          </w:r>
          <w:r>
            <w:rPr>
              <w:sz w:val="32"/>
              <w:szCs w:val="32"/>
            </w:rPr>
            <w:instrText xml:space="preserve"> PAGEREF _Toc25694 \h </w:instrText>
          </w:r>
          <w:r>
            <w:rPr>
              <w:sz w:val="32"/>
              <w:szCs w:val="32"/>
            </w:rPr>
            <w:fldChar w:fldCharType="separate"/>
          </w:r>
          <w:r>
            <w:rPr>
              <w:sz w:val="32"/>
              <w:szCs w:val="32"/>
            </w:rPr>
            <w:t>- 15 -</w:t>
          </w:r>
          <w:r>
            <w:rPr>
              <w:sz w:val="32"/>
              <w:szCs w:val="32"/>
            </w:rPr>
            <w:fldChar w:fldCharType="end"/>
          </w:r>
          <w:r>
            <w:rPr>
              <w:sz w:val="32"/>
              <w:szCs w:val="32"/>
            </w:rPr>
            <w:fldChar w:fldCharType="end"/>
          </w:r>
        </w:p>
        <w:p w14:paraId="1374D73B">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p>
        <w:p w14:paraId="023A76AB">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_Toc27819 </w:instrText>
          </w:r>
          <w:r>
            <w:rPr>
              <w:sz w:val="32"/>
              <w:szCs w:val="32"/>
            </w:rPr>
            <w:fldChar w:fldCharType="separate"/>
          </w:r>
          <w:r>
            <w:rPr>
              <w:rFonts w:hint="eastAsia" w:ascii="黑体" w:hAnsi="黑体" w:eastAsia="黑体" w:cs="黑体"/>
              <w:spacing w:val="7"/>
              <w:sz w:val="32"/>
              <w:szCs w:val="32"/>
              <w:lang w:val="en-US" w:eastAsia="zh-CN"/>
            </w:rPr>
            <w:t>第六章 利用及处置</w:t>
          </w:r>
          <w:r>
            <w:rPr>
              <w:sz w:val="32"/>
              <w:szCs w:val="32"/>
            </w:rPr>
            <w:tab/>
          </w:r>
          <w:r>
            <w:rPr>
              <w:sz w:val="32"/>
              <w:szCs w:val="32"/>
            </w:rPr>
            <w:fldChar w:fldCharType="begin"/>
          </w:r>
          <w:r>
            <w:rPr>
              <w:sz w:val="32"/>
              <w:szCs w:val="32"/>
            </w:rPr>
            <w:instrText xml:space="preserve"> PAGEREF _Toc27819 \h </w:instrText>
          </w:r>
          <w:r>
            <w:rPr>
              <w:sz w:val="32"/>
              <w:szCs w:val="32"/>
            </w:rPr>
            <w:fldChar w:fldCharType="separate"/>
          </w:r>
          <w:r>
            <w:rPr>
              <w:sz w:val="32"/>
              <w:szCs w:val="32"/>
            </w:rPr>
            <w:t>- 18 -</w:t>
          </w:r>
          <w:r>
            <w:rPr>
              <w:sz w:val="32"/>
              <w:szCs w:val="32"/>
            </w:rPr>
            <w:fldChar w:fldCharType="end"/>
          </w:r>
          <w:r>
            <w:rPr>
              <w:sz w:val="32"/>
              <w:szCs w:val="32"/>
            </w:rPr>
            <w:fldChar w:fldCharType="end"/>
          </w:r>
        </w:p>
        <w:p w14:paraId="1374AE38">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_Toc20378 </w:instrText>
          </w:r>
          <w:r>
            <w:rPr>
              <w:sz w:val="32"/>
              <w:szCs w:val="32"/>
            </w:rPr>
            <w:fldChar w:fldCharType="separate"/>
          </w:r>
          <w:r>
            <w:rPr>
              <w:rFonts w:hint="eastAsia" w:ascii="黑体" w:hAnsi="黑体" w:eastAsia="黑体" w:cs="黑体"/>
              <w:bCs w:val="0"/>
              <w:spacing w:val="2"/>
              <w:sz w:val="32"/>
              <w:szCs w:val="32"/>
              <w:lang w:val="en-US" w:eastAsia="zh-CN"/>
            </w:rPr>
            <w:t>一、建筑垃圾利用</w:t>
          </w:r>
          <w:r>
            <w:rPr>
              <w:sz w:val="32"/>
              <w:szCs w:val="32"/>
            </w:rPr>
            <w:tab/>
          </w:r>
          <w:r>
            <w:rPr>
              <w:sz w:val="32"/>
              <w:szCs w:val="32"/>
            </w:rPr>
            <w:fldChar w:fldCharType="begin"/>
          </w:r>
          <w:r>
            <w:rPr>
              <w:sz w:val="32"/>
              <w:szCs w:val="32"/>
            </w:rPr>
            <w:instrText xml:space="preserve"> PAGEREF _Toc20378 \h </w:instrText>
          </w:r>
          <w:r>
            <w:rPr>
              <w:sz w:val="32"/>
              <w:szCs w:val="32"/>
            </w:rPr>
            <w:fldChar w:fldCharType="separate"/>
          </w:r>
          <w:r>
            <w:rPr>
              <w:sz w:val="32"/>
              <w:szCs w:val="32"/>
            </w:rPr>
            <w:t>- 18 -</w:t>
          </w:r>
          <w:r>
            <w:rPr>
              <w:sz w:val="32"/>
              <w:szCs w:val="32"/>
            </w:rPr>
            <w:fldChar w:fldCharType="end"/>
          </w:r>
          <w:r>
            <w:rPr>
              <w:sz w:val="32"/>
              <w:szCs w:val="32"/>
            </w:rPr>
            <w:fldChar w:fldCharType="end"/>
          </w:r>
        </w:p>
        <w:p w14:paraId="132B907D">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_Toc3576 </w:instrText>
          </w:r>
          <w:r>
            <w:rPr>
              <w:sz w:val="32"/>
              <w:szCs w:val="32"/>
            </w:rPr>
            <w:fldChar w:fldCharType="separate"/>
          </w:r>
          <w:r>
            <w:rPr>
              <w:rFonts w:hint="eastAsia" w:ascii="楷体_GB2312" w:hAnsi="楷体_GB2312" w:eastAsia="楷体_GB2312" w:cs="楷体_GB2312"/>
              <w:bCs/>
              <w:spacing w:val="8"/>
              <w:sz w:val="32"/>
              <w:szCs w:val="32"/>
              <w:lang w:val="en-US" w:eastAsia="zh-CN"/>
            </w:rPr>
            <w:t>（一）直接利用</w:t>
          </w:r>
          <w:r>
            <w:rPr>
              <w:sz w:val="32"/>
              <w:szCs w:val="32"/>
            </w:rPr>
            <w:tab/>
          </w:r>
          <w:r>
            <w:rPr>
              <w:sz w:val="32"/>
              <w:szCs w:val="32"/>
            </w:rPr>
            <w:fldChar w:fldCharType="begin"/>
          </w:r>
          <w:r>
            <w:rPr>
              <w:sz w:val="32"/>
              <w:szCs w:val="32"/>
            </w:rPr>
            <w:instrText xml:space="preserve"> PAGEREF _Toc3576 \h </w:instrText>
          </w:r>
          <w:r>
            <w:rPr>
              <w:sz w:val="32"/>
              <w:szCs w:val="32"/>
            </w:rPr>
            <w:fldChar w:fldCharType="separate"/>
          </w:r>
          <w:r>
            <w:rPr>
              <w:sz w:val="32"/>
              <w:szCs w:val="32"/>
            </w:rPr>
            <w:t>- 18 -</w:t>
          </w:r>
          <w:r>
            <w:rPr>
              <w:sz w:val="32"/>
              <w:szCs w:val="32"/>
            </w:rPr>
            <w:fldChar w:fldCharType="end"/>
          </w:r>
          <w:r>
            <w:rPr>
              <w:sz w:val="32"/>
              <w:szCs w:val="32"/>
            </w:rPr>
            <w:fldChar w:fldCharType="end"/>
          </w:r>
        </w:p>
        <w:p w14:paraId="6C8B56B9">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_Toc19788 </w:instrText>
          </w:r>
          <w:r>
            <w:rPr>
              <w:sz w:val="32"/>
              <w:szCs w:val="32"/>
            </w:rPr>
            <w:fldChar w:fldCharType="separate"/>
          </w:r>
          <w:r>
            <w:rPr>
              <w:rFonts w:hint="eastAsia" w:ascii="楷体_GB2312" w:hAnsi="楷体_GB2312" w:eastAsia="楷体_GB2312" w:cs="楷体_GB2312"/>
              <w:bCs/>
              <w:spacing w:val="8"/>
              <w:sz w:val="32"/>
              <w:szCs w:val="32"/>
              <w:lang w:val="en-US" w:eastAsia="zh-CN"/>
            </w:rPr>
            <w:t>（二）资源化利用</w:t>
          </w:r>
          <w:r>
            <w:rPr>
              <w:sz w:val="32"/>
              <w:szCs w:val="32"/>
            </w:rPr>
            <w:tab/>
          </w:r>
          <w:r>
            <w:rPr>
              <w:sz w:val="32"/>
              <w:szCs w:val="32"/>
            </w:rPr>
            <w:fldChar w:fldCharType="begin"/>
          </w:r>
          <w:r>
            <w:rPr>
              <w:sz w:val="32"/>
              <w:szCs w:val="32"/>
            </w:rPr>
            <w:instrText xml:space="preserve"> PAGEREF _Toc19788 \h </w:instrText>
          </w:r>
          <w:r>
            <w:rPr>
              <w:sz w:val="32"/>
              <w:szCs w:val="32"/>
            </w:rPr>
            <w:fldChar w:fldCharType="separate"/>
          </w:r>
          <w:r>
            <w:rPr>
              <w:sz w:val="32"/>
              <w:szCs w:val="32"/>
            </w:rPr>
            <w:t>- 19 -</w:t>
          </w:r>
          <w:r>
            <w:rPr>
              <w:sz w:val="32"/>
              <w:szCs w:val="32"/>
            </w:rPr>
            <w:fldChar w:fldCharType="end"/>
          </w:r>
          <w:r>
            <w:rPr>
              <w:sz w:val="32"/>
              <w:szCs w:val="32"/>
            </w:rPr>
            <w:fldChar w:fldCharType="end"/>
          </w:r>
        </w:p>
        <w:p w14:paraId="615B6BBE">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_Toc20535 </w:instrText>
          </w:r>
          <w:r>
            <w:rPr>
              <w:sz w:val="32"/>
              <w:szCs w:val="32"/>
            </w:rPr>
            <w:fldChar w:fldCharType="separate"/>
          </w:r>
          <w:r>
            <w:rPr>
              <w:rFonts w:hint="eastAsia" w:ascii="黑体" w:hAnsi="黑体" w:eastAsia="黑体" w:cs="黑体"/>
              <w:bCs w:val="0"/>
              <w:spacing w:val="2"/>
              <w:sz w:val="32"/>
              <w:szCs w:val="32"/>
              <w:lang w:val="en-US" w:eastAsia="zh-CN"/>
            </w:rPr>
            <w:t>二、建筑垃圾处置</w:t>
          </w:r>
          <w:r>
            <w:rPr>
              <w:sz w:val="32"/>
              <w:szCs w:val="32"/>
            </w:rPr>
            <w:tab/>
          </w:r>
          <w:r>
            <w:rPr>
              <w:sz w:val="32"/>
              <w:szCs w:val="32"/>
            </w:rPr>
            <w:fldChar w:fldCharType="begin"/>
          </w:r>
          <w:r>
            <w:rPr>
              <w:sz w:val="32"/>
              <w:szCs w:val="32"/>
            </w:rPr>
            <w:instrText xml:space="preserve"> PAGEREF _Toc20535 \h </w:instrText>
          </w:r>
          <w:r>
            <w:rPr>
              <w:sz w:val="32"/>
              <w:szCs w:val="32"/>
            </w:rPr>
            <w:fldChar w:fldCharType="separate"/>
          </w:r>
          <w:r>
            <w:rPr>
              <w:sz w:val="32"/>
              <w:szCs w:val="32"/>
            </w:rPr>
            <w:t>- 19 -</w:t>
          </w:r>
          <w:r>
            <w:rPr>
              <w:sz w:val="32"/>
              <w:szCs w:val="32"/>
            </w:rPr>
            <w:fldChar w:fldCharType="end"/>
          </w:r>
          <w:r>
            <w:rPr>
              <w:sz w:val="32"/>
              <w:szCs w:val="32"/>
            </w:rPr>
            <w:fldChar w:fldCharType="end"/>
          </w:r>
        </w:p>
        <w:p w14:paraId="73BFD039">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_Toc13366 </w:instrText>
          </w:r>
          <w:r>
            <w:rPr>
              <w:sz w:val="32"/>
              <w:szCs w:val="32"/>
            </w:rPr>
            <w:fldChar w:fldCharType="separate"/>
          </w:r>
          <w:r>
            <w:rPr>
              <w:rFonts w:hint="eastAsia" w:ascii="楷体_GB2312" w:hAnsi="楷体_GB2312" w:eastAsia="楷体_GB2312" w:cs="楷体_GB2312"/>
              <w:bCs/>
              <w:spacing w:val="8"/>
              <w:sz w:val="32"/>
              <w:szCs w:val="32"/>
              <w:lang w:val="en-US" w:eastAsia="zh-CN"/>
            </w:rPr>
            <w:t>（一）处置原则</w:t>
          </w:r>
          <w:r>
            <w:rPr>
              <w:sz w:val="32"/>
              <w:szCs w:val="32"/>
            </w:rPr>
            <w:tab/>
          </w:r>
          <w:r>
            <w:rPr>
              <w:sz w:val="32"/>
              <w:szCs w:val="32"/>
            </w:rPr>
            <w:fldChar w:fldCharType="begin"/>
          </w:r>
          <w:r>
            <w:rPr>
              <w:sz w:val="32"/>
              <w:szCs w:val="32"/>
            </w:rPr>
            <w:instrText xml:space="preserve"> PAGEREF _Toc13366 \h </w:instrText>
          </w:r>
          <w:r>
            <w:rPr>
              <w:sz w:val="32"/>
              <w:szCs w:val="32"/>
            </w:rPr>
            <w:fldChar w:fldCharType="separate"/>
          </w:r>
          <w:r>
            <w:rPr>
              <w:sz w:val="32"/>
              <w:szCs w:val="32"/>
            </w:rPr>
            <w:t>- 19 -</w:t>
          </w:r>
          <w:r>
            <w:rPr>
              <w:sz w:val="32"/>
              <w:szCs w:val="32"/>
            </w:rPr>
            <w:fldChar w:fldCharType="end"/>
          </w:r>
          <w:r>
            <w:rPr>
              <w:sz w:val="32"/>
              <w:szCs w:val="32"/>
            </w:rPr>
            <w:fldChar w:fldCharType="end"/>
          </w:r>
        </w:p>
        <w:p w14:paraId="1AAE49B0">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_Toc29605 </w:instrText>
          </w:r>
          <w:r>
            <w:rPr>
              <w:sz w:val="32"/>
              <w:szCs w:val="32"/>
            </w:rPr>
            <w:fldChar w:fldCharType="separate"/>
          </w:r>
          <w:r>
            <w:rPr>
              <w:rFonts w:hint="eastAsia" w:ascii="楷体_GB2312" w:hAnsi="楷体_GB2312" w:eastAsia="楷体_GB2312" w:cs="楷体_GB2312"/>
              <w:bCs/>
              <w:spacing w:val="8"/>
              <w:sz w:val="32"/>
              <w:szCs w:val="32"/>
              <w:lang w:val="en-US" w:eastAsia="zh-CN"/>
            </w:rPr>
            <w:t>（二）处置方式​</w:t>
          </w:r>
          <w:r>
            <w:rPr>
              <w:sz w:val="32"/>
              <w:szCs w:val="32"/>
            </w:rPr>
            <w:tab/>
          </w:r>
          <w:r>
            <w:rPr>
              <w:sz w:val="32"/>
              <w:szCs w:val="32"/>
            </w:rPr>
            <w:fldChar w:fldCharType="begin"/>
          </w:r>
          <w:r>
            <w:rPr>
              <w:sz w:val="32"/>
              <w:szCs w:val="32"/>
            </w:rPr>
            <w:instrText xml:space="preserve"> PAGEREF _Toc29605 \h </w:instrText>
          </w:r>
          <w:r>
            <w:rPr>
              <w:sz w:val="32"/>
              <w:szCs w:val="32"/>
            </w:rPr>
            <w:fldChar w:fldCharType="separate"/>
          </w:r>
          <w:r>
            <w:rPr>
              <w:sz w:val="32"/>
              <w:szCs w:val="32"/>
            </w:rPr>
            <w:t>- 19 -</w:t>
          </w:r>
          <w:r>
            <w:rPr>
              <w:sz w:val="32"/>
              <w:szCs w:val="32"/>
            </w:rPr>
            <w:fldChar w:fldCharType="end"/>
          </w:r>
          <w:r>
            <w:rPr>
              <w:sz w:val="32"/>
              <w:szCs w:val="32"/>
            </w:rPr>
            <w:fldChar w:fldCharType="end"/>
          </w:r>
        </w:p>
        <w:p w14:paraId="09B94933">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_Toc7678 </w:instrText>
          </w:r>
          <w:r>
            <w:rPr>
              <w:sz w:val="32"/>
              <w:szCs w:val="32"/>
            </w:rPr>
            <w:fldChar w:fldCharType="separate"/>
          </w:r>
          <w:r>
            <w:rPr>
              <w:rFonts w:hint="eastAsia" w:ascii="楷体_GB2312" w:hAnsi="楷体_GB2312" w:eastAsia="楷体_GB2312" w:cs="楷体_GB2312"/>
              <w:bCs/>
              <w:spacing w:val="8"/>
              <w:sz w:val="32"/>
              <w:szCs w:val="32"/>
              <w:lang w:val="en-US" w:eastAsia="zh-CN"/>
            </w:rPr>
            <w:t>（三）处置过程监管</w:t>
          </w:r>
          <w:r>
            <w:rPr>
              <w:sz w:val="32"/>
              <w:szCs w:val="32"/>
            </w:rPr>
            <w:tab/>
          </w:r>
          <w:r>
            <w:rPr>
              <w:sz w:val="32"/>
              <w:szCs w:val="32"/>
            </w:rPr>
            <w:fldChar w:fldCharType="begin"/>
          </w:r>
          <w:r>
            <w:rPr>
              <w:sz w:val="32"/>
              <w:szCs w:val="32"/>
            </w:rPr>
            <w:instrText xml:space="preserve"> PAGEREF _Toc7678 \h </w:instrText>
          </w:r>
          <w:r>
            <w:rPr>
              <w:sz w:val="32"/>
              <w:szCs w:val="32"/>
            </w:rPr>
            <w:fldChar w:fldCharType="separate"/>
          </w:r>
          <w:r>
            <w:rPr>
              <w:sz w:val="32"/>
              <w:szCs w:val="32"/>
            </w:rPr>
            <w:t>- 20 -</w:t>
          </w:r>
          <w:r>
            <w:rPr>
              <w:sz w:val="32"/>
              <w:szCs w:val="32"/>
            </w:rPr>
            <w:fldChar w:fldCharType="end"/>
          </w:r>
          <w:r>
            <w:rPr>
              <w:sz w:val="32"/>
              <w:szCs w:val="32"/>
            </w:rPr>
            <w:fldChar w:fldCharType="end"/>
          </w:r>
        </w:p>
        <w:p w14:paraId="6B4C9F91">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_Toc9265 </w:instrText>
          </w:r>
          <w:r>
            <w:rPr>
              <w:sz w:val="32"/>
              <w:szCs w:val="32"/>
            </w:rPr>
            <w:fldChar w:fldCharType="separate"/>
          </w:r>
          <w:r>
            <w:rPr>
              <w:rFonts w:hint="eastAsia" w:ascii="黑体" w:hAnsi="黑体" w:eastAsia="黑体" w:cs="黑体"/>
              <w:bCs w:val="0"/>
              <w:spacing w:val="2"/>
              <w:sz w:val="32"/>
              <w:szCs w:val="32"/>
              <w:lang w:val="en-US" w:eastAsia="zh-CN"/>
            </w:rPr>
            <w:t>三、设施提质改造​</w:t>
          </w:r>
          <w:r>
            <w:rPr>
              <w:sz w:val="32"/>
              <w:szCs w:val="32"/>
            </w:rPr>
            <w:tab/>
          </w:r>
          <w:r>
            <w:rPr>
              <w:sz w:val="32"/>
              <w:szCs w:val="32"/>
            </w:rPr>
            <w:fldChar w:fldCharType="begin"/>
          </w:r>
          <w:r>
            <w:rPr>
              <w:sz w:val="32"/>
              <w:szCs w:val="32"/>
            </w:rPr>
            <w:instrText xml:space="preserve"> PAGEREF _Toc9265 \h </w:instrText>
          </w:r>
          <w:r>
            <w:rPr>
              <w:sz w:val="32"/>
              <w:szCs w:val="32"/>
            </w:rPr>
            <w:fldChar w:fldCharType="separate"/>
          </w:r>
          <w:r>
            <w:rPr>
              <w:sz w:val="32"/>
              <w:szCs w:val="32"/>
            </w:rPr>
            <w:t>- 20 -</w:t>
          </w:r>
          <w:r>
            <w:rPr>
              <w:sz w:val="32"/>
              <w:szCs w:val="32"/>
            </w:rPr>
            <w:fldChar w:fldCharType="end"/>
          </w:r>
          <w:r>
            <w:rPr>
              <w:sz w:val="32"/>
              <w:szCs w:val="32"/>
            </w:rPr>
            <w:fldChar w:fldCharType="end"/>
          </w:r>
        </w:p>
        <w:p w14:paraId="5B81A626">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_Toc1104 </w:instrText>
          </w:r>
          <w:r>
            <w:rPr>
              <w:sz w:val="32"/>
              <w:szCs w:val="32"/>
            </w:rPr>
            <w:fldChar w:fldCharType="separate"/>
          </w:r>
          <w:r>
            <w:rPr>
              <w:rFonts w:hint="eastAsia" w:ascii="黑体" w:hAnsi="黑体" w:eastAsia="黑体" w:cs="黑体"/>
              <w:bCs w:val="0"/>
              <w:spacing w:val="2"/>
              <w:sz w:val="32"/>
              <w:szCs w:val="32"/>
              <w:lang w:val="en-US" w:eastAsia="zh-CN"/>
            </w:rPr>
            <w:t>四、历史遗留建筑垃圾处置​</w:t>
          </w:r>
          <w:r>
            <w:rPr>
              <w:sz w:val="32"/>
              <w:szCs w:val="32"/>
            </w:rPr>
            <w:tab/>
          </w:r>
          <w:r>
            <w:rPr>
              <w:sz w:val="32"/>
              <w:szCs w:val="32"/>
            </w:rPr>
            <w:fldChar w:fldCharType="begin"/>
          </w:r>
          <w:r>
            <w:rPr>
              <w:sz w:val="32"/>
              <w:szCs w:val="32"/>
            </w:rPr>
            <w:instrText xml:space="preserve"> PAGEREF _Toc1104 \h </w:instrText>
          </w:r>
          <w:r>
            <w:rPr>
              <w:sz w:val="32"/>
              <w:szCs w:val="32"/>
            </w:rPr>
            <w:fldChar w:fldCharType="separate"/>
          </w:r>
          <w:r>
            <w:rPr>
              <w:sz w:val="32"/>
              <w:szCs w:val="32"/>
            </w:rPr>
            <w:t>- 20 -</w:t>
          </w:r>
          <w:r>
            <w:rPr>
              <w:sz w:val="32"/>
              <w:szCs w:val="32"/>
            </w:rPr>
            <w:fldChar w:fldCharType="end"/>
          </w:r>
          <w:r>
            <w:rPr>
              <w:sz w:val="32"/>
              <w:szCs w:val="32"/>
            </w:rPr>
            <w:fldChar w:fldCharType="end"/>
          </w:r>
        </w:p>
        <w:p w14:paraId="46D1100C">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p>
        <w:p w14:paraId="527656A2">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_Toc17536 </w:instrText>
          </w:r>
          <w:r>
            <w:rPr>
              <w:sz w:val="32"/>
              <w:szCs w:val="32"/>
            </w:rPr>
            <w:fldChar w:fldCharType="separate"/>
          </w:r>
          <w:r>
            <w:rPr>
              <w:rFonts w:hint="eastAsia" w:ascii="黑体" w:hAnsi="黑体" w:eastAsia="黑体" w:cs="黑体"/>
              <w:spacing w:val="6"/>
              <w:sz w:val="32"/>
              <w:szCs w:val="32"/>
              <w:lang w:val="en-US" w:eastAsia="zh-CN"/>
            </w:rPr>
            <w:t>第七章 存量治理</w:t>
          </w:r>
          <w:r>
            <w:rPr>
              <w:sz w:val="32"/>
              <w:szCs w:val="32"/>
            </w:rPr>
            <w:tab/>
          </w:r>
          <w:r>
            <w:rPr>
              <w:sz w:val="32"/>
              <w:szCs w:val="32"/>
            </w:rPr>
            <w:fldChar w:fldCharType="begin"/>
          </w:r>
          <w:r>
            <w:rPr>
              <w:sz w:val="32"/>
              <w:szCs w:val="32"/>
            </w:rPr>
            <w:instrText xml:space="preserve"> PAGEREF _Toc17536 \h </w:instrText>
          </w:r>
          <w:r>
            <w:rPr>
              <w:sz w:val="32"/>
              <w:szCs w:val="32"/>
            </w:rPr>
            <w:fldChar w:fldCharType="separate"/>
          </w:r>
          <w:r>
            <w:rPr>
              <w:sz w:val="32"/>
              <w:szCs w:val="32"/>
            </w:rPr>
            <w:t>- 21 -</w:t>
          </w:r>
          <w:r>
            <w:rPr>
              <w:sz w:val="32"/>
              <w:szCs w:val="32"/>
            </w:rPr>
            <w:fldChar w:fldCharType="end"/>
          </w:r>
          <w:r>
            <w:rPr>
              <w:sz w:val="32"/>
              <w:szCs w:val="32"/>
            </w:rPr>
            <w:fldChar w:fldCharType="end"/>
          </w:r>
        </w:p>
        <w:p w14:paraId="0BC74C1B">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_Toc30777 </w:instrText>
          </w:r>
          <w:r>
            <w:rPr>
              <w:sz w:val="32"/>
              <w:szCs w:val="32"/>
            </w:rPr>
            <w:fldChar w:fldCharType="separate"/>
          </w:r>
          <w:r>
            <w:rPr>
              <w:rFonts w:hint="eastAsia" w:ascii="黑体" w:hAnsi="黑体" w:eastAsia="黑体" w:cs="黑体"/>
              <w:bCs w:val="0"/>
              <w:spacing w:val="2"/>
              <w:sz w:val="32"/>
              <w:szCs w:val="32"/>
              <w:lang w:val="en-US" w:eastAsia="zh-CN"/>
            </w:rPr>
            <w:t>一、治理工作目标​</w:t>
          </w:r>
          <w:r>
            <w:rPr>
              <w:sz w:val="32"/>
              <w:szCs w:val="32"/>
            </w:rPr>
            <w:tab/>
          </w:r>
          <w:r>
            <w:rPr>
              <w:sz w:val="32"/>
              <w:szCs w:val="32"/>
            </w:rPr>
            <w:fldChar w:fldCharType="begin"/>
          </w:r>
          <w:r>
            <w:rPr>
              <w:sz w:val="32"/>
              <w:szCs w:val="32"/>
            </w:rPr>
            <w:instrText xml:space="preserve"> PAGEREF _Toc30777 \h </w:instrText>
          </w:r>
          <w:r>
            <w:rPr>
              <w:sz w:val="32"/>
              <w:szCs w:val="32"/>
            </w:rPr>
            <w:fldChar w:fldCharType="separate"/>
          </w:r>
          <w:r>
            <w:rPr>
              <w:sz w:val="32"/>
              <w:szCs w:val="32"/>
            </w:rPr>
            <w:t>- 21 -</w:t>
          </w:r>
          <w:r>
            <w:rPr>
              <w:sz w:val="32"/>
              <w:szCs w:val="32"/>
            </w:rPr>
            <w:fldChar w:fldCharType="end"/>
          </w:r>
          <w:r>
            <w:rPr>
              <w:sz w:val="32"/>
              <w:szCs w:val="32"/>
            </w:rPr>
            <w:fldChar w:fldCharType="end"/>
          </w:r>
        </w:p>
        <w:p w14:paraId="73ACD8A2">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_Toc32351 </w:instrText>
          </w:r>
          <w:r>
            <w:rPr>
              <w:sz w:val="32"/>
              <w:szCs w:val="32"/>
            </w:rPr>
            <w:fldChar w:fldCharType="separate"/>
          </w:r>
          <w:r>
            <w:rPr>
              <w:rFonts w:hint="eastAsia" w:ascii="楷体_GB2312" w:hAnsi="楷体_GB2312" w:eastAsia="楷体_GB2312" w:cs="楷体_GB2312"/>
              <w:bCs/>
              <w:spacing w:val="8"/>
              <w:sz w:val="32"/>
              <w:szCs w:val="32"/>
              <w:lang w:val="en-US" w:eastAsia="zh-CN"/>
            </w:rPr>
            <w:t>（一）基础排查与台账建设目标​</w:t>
          </w:r>
          <w:r>
            <w:rPr>
              <w:sz w:val="32"/>
              <w:szCs w:val="32"/>
            </w:rPr>
            <w:tab/>
          </w:r>
          <w:r>
            <w:rPr>
              <w:sz w:val="32"/>
              <w:szCs w:val="32"/>
            </w:rPr>
            <w:fldChar w:fldCharType="begin"/>
          </w:r>
          <w:r>
            <w:rPr>
              <w:sz w:val="32"/>
              <w:szCs w:val="32"/>
            </w:rPr>
            <w:instrText xml:space="preserve"> PAGEREF _Toc32351 \h </w:instrText>
          </w:r>
          <w:r>
            <w:rPr>
              <w:sz w:val="32"/>
              <w:szCs w:val="32"/>
            </w:rPr>
            <w:fldChar w:fldCharType="separate"/>
          </w:r>
          <w:r>
            <w:rPr>
              <w:sz w:val="32"/>
              <w:szCs w:val="32"/>
            </w:rPr>
            <w:t>- 21 -</w:t>
          </w:r>
          <w:r>
            <w:rPr>
              <w:sz w:val="32"/>
              <w:szCs w:val="32"/>
            </w:rPr>
            <w:fldChar w:fldCharType="end"/>
          </w:r>
          <w:r>
            <w:rPr>
              <w:sz w:val="32"/>
              <w:szCs w:val="32"/>
            </w:rPr>
            <w:fldChar w:fldCharType="end"/>
          </w:r>
        </w:p>
        <w:p w14:paraId="16675F7B">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_Toc19814 </w:instrText>
          </w:r>
          <w:r>
            <w:rPr>
              <w:sz w:val="32"/>
              <w:szCs w:val="32"/>
            </w:rPr>
            <w:fldChar w:fldCharType="separate"/>
          </w:r>
          <w:r>
            <w:rPr>
              <w:rFonts w:hint="eastAsia" w:ascii="楷体_GB2312" w:hAnsi="楷体_GB2312" w:eastAsia="楷体_GB2312" w:cs="楷体_GB2312"/>
              <w:bCs/>
              <w:spacing w:val="8"/>
              <w:sz w:val="32"/>
              <w:szCs w:val="32"/>
              <w:lang w:val="en-US" w:eastAsia="zh-CN"/>
            </w:rPr>
            <w:t>（二）重点区域整治与设施建设目标​</w:t>
          </w:r>
          <w:r>
            <w:rPr>
              <w:sz w:val="32"/>
              <w:szCs w:val="32"/>
            </w:rPr>
            <w:tab/>
          </w:r>
          <w:r>
            <w:rPr>
              <w:sz w:val="32"/>
              <w:szCs w:val="32"/>
            </w:rPr>
            <w:fldChar w:fldCharType="begin"/>
          </w:r>
          <w:r>
            <w:rPr>
              <w:sz w:val="32"/>
              <w:szCs w:val="32"/>
            </w:rPr>
            <w:instrText xml:space="preserve"> PAGEREF _Toc19814 \h </w:instrText>
          </w:r>
          <w:r>
            <w:rPr>
              <w:sz w:val="32"/>
              <w:szCs w:val="32"/>
            </w:rPr>
            <w:fldChar w:fldCharType="separate"/>
          </w:r>
          <w:r>
            <w:rPr>
              <w:sz w:val="32"/>
              <w:szCs w:val="32"/>
            </w:rPr>
            <w:t>- 21 -</w:t>
          </w:r>
          <w:r>
            <w:rPr>
              <w:sz w:val="32"/>
              <w:szCs w:val="32"/>
            </w:rPr>
            <w:fldChar w:fldCharType="end"/>
          </w:r>
          <w:r>
            <w:rPr>
              <w:sz w:val="32"/>
              <w:szCs w:val="32"/>
            </w:rPr>
            <w:fldChar w:fldCharType="end"/>
          </w:r>
        </w:p>
        <w:p w14:paraId="46483330">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_Toc11161 </w:instrText>
          </w:r>
          <w:r>
            <w:rPr>
              <w:sz w:val="32"/>
              <w:szCs w:val="32"/>
            </w:rPr>
            <w:fldChar w:fldCharType="separate"/>
          </w:r>
          <w:r>
            <w:rPr>
              <w:rFonts w:hint="eastAsia" w:ascii="黑体" w:hAnsi="黑体" w:eastAsia="黑体" w:cs="黑体"/>
              <w:bCs w:val="0"/>
              <w:spacing w:val="2"/>
              <w:sz w:val="32"/>
              <w:szCs w:val="32"/>
              <w:lang w:val="en-US" w:eastAsia="zh-CN"/>
            </w:rPr>
            <w:t>二、</w:t>
          </w:r>
          <w:r>
            <w:rPr>
              <w:rFonts w:hint="default" w:ascii="黑体" w:hAnsi="黑体" w:eastAsia="黑体" w:cs="黑体"/>
              <w:bCs w:val="0"/>
              <w:spacing w:val="2"/>
              <w:sz w:val="32"/>
              <w:szCs w:val="32"/>
              <w:lang w:val="en-US" w:eastAsia="zh-CN"/>
            </w:rPr>
            <w:t>治理工作重点​</w:t>
          </w:r>
          <w:r>
            <w:rPr>
              <w:sz w:val="32"/>
              <w:szCs w:val="32"/>
            </w:rPr>
            <w:tab/>
          </w:r>
          <w:r>
            <w:rPr>
              <w:sz w:val="32"/>
              <w:szCs w:val="32"/>
            </w:rPr>
            <w:fldChar w:fldCharType="begin"/>
          </w:r>
          <w:r>
            <w:rPr>
              <w:sz w:val="32"/>
              <w:szCs w:val="32"/>
            </w:rPr>
            <w:instrText xml:space="preserve"> PAGEREF _Toc11161 \h </w:instrText>
          </w:r>
          <w:r>
            <w:rPr>
              <w:sz w:val="32"/>
              <w:szCs w:val="32"/>
            </w:rPr>
            <w:fldChar w:fldCharType="separate"/>
          </w:r>
          <w:r>
            <w:rPr>
              <w:sz w:val="32"/>
              <w:szCs w:val="32"/>
            </w:rPr>
            <w:t>- 21 -</w:t>
          </w:r>
          <w:r>
            <w:rPr>
              <w:sz w:val="32"/>
              <w:szCs w:val="32"/>
            </w:rPr>
            <w:fldChar w:fldCharType="end"/>
          </w:r>
          <w:r>
            <w:rPr>
              <w:sz w:val="32"/>
              <w:szCs w:val="32"/>
            </w:rPr>
            <w:fldChar w:fldCharType="end"/>
          </w:r>
        </w:p>
        <w:p w14:paraId="260B402A">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_Toc8218 </w:instrText>
          </w:r>
          <w:r>
            <w:rPr>
              <w:sz w:val="32"/>
              <w:szCs w:val="32"/>
            </w:rPr>
            <w:fldChar w:fldCharType="separate"/>
          </w:r>
          <w:r>
            <w:rPr>
              <w:rFonts w:hint="eastAsia" w:ascii="楷体_GB2312" w:hAnsi="楷体_GB2312" w:eastAsia="楷体_GB2312" w:cs="楷体_GB2312"/>
              <w:bCs/>
              <w:spacing w:val="8"/>
              <w:sz w:val="32"/>
              <w:szCs w:val="32"/>
              <w:lang w:val="en-US" w:eastAsia="zh-CN"/>
            </w:rPr>
            <w:t>（一）</w:t>
          </w:r>
          <w:r>
            <w:rPr>
              <w:rFonts w:hint="default" w:ascii="楷体_GB2312" w:hAnsi="楷体_GB2312" w:eastAsia="楷体_GB2312" w:cs="楷体_GB2312"/>
              <w:bCs/>
              <w:spacing w:val="8"/>
              <w:sz w:val="32"/>
              <w:szCs w:val="32"/>
              <w:lang w:val="en-US" w:eastAsia="zh-CN"/>
            </w:rPr>
            <w:t>重点区域管控​​</w:t>
          </w:r>
          <w:r>
            <w:rPr>
              <w:sz w:val="32"/>
              <w:szCs w:val="32"/>
            </w:rPr>
            <w:tab/>
          </w:r>
          <w:r>
            <w:rPr>
              <w:sz w:val="32"/>
              <w:szCs w:val="32"/>
            </w:rPr>
            <w:fldChar w:fldCharType="begin"/>
          </w:r>
          <w:r>
            <w:rPr>
              <w:sz w:val="32"/>
              <w:szCs w:val="32"/>
            </w:rPr>
            <w:instrText xml:space="preserve"> PAGEREF _Toc8218 \h </w:instrText>
          </w:r>
          <w:r>
            <w:rPr>
              <w:sz w:val="32"/>
              <w:szCs w:val="32"/>
            </w:rPr>
            <w:fldChar w:fldCharType="separate"/>
          </w:r>
          <w:r>
            <w:rPr>
              <w:sz w:val="32"/>
              <w:szCs w:val="32"/>
            </w:rPr>
            <w:t>- 21 -</w:t>
          </w:r>
          <w:r>
            <w:rPr>
              <w:sz w:val="32"/>
              <w:szCs w:val="32"/>
            </w:rPr>
            <w:fldChar w:fldCharType="end"/>
          </w:r>
          <w:r>
            <w:rPr>
              <w:sz w:val="32"/>
              <w:szCs w:val="32"/>
            </w:rPr>
            <w:fldChar w:fldCharType="end"/>
          </w:r>
        </w:p>
        <w:p w14:paraId="350D1213">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_Toc635 </w:instrText>
          </w:r>
          <w:r>
            <w:rPr>
              <w:sz w:val="32"/>
              <w:szCs w:val="32"/>
            </w:rPr>
            <w:fldChar w:fldCharType="separate"/>
          </w:r>
          <w:r>
            <w:rPr>
              <w:rFonts w:hint="eastAsia" w:ascii="楷体_GB2312" w:hAnsi="楷体_GB2312" w:eastAsia="楷体_GB2312" w:cs="楷体_GB2312"/>
              <w:bCs/>
              <w:spacing w:val="8"/>
              <w:sz w:val="32"/>
              <w:szCs w:val="32"/>
              <w:lang w:val="en-US" w:eastAsia="zh-CN"/>
            </w:rPr>
            <w:t>（二）</w:t>
          </w:r>
          <w:r>
            <w:rPr>
              <w:rFonts w:hint="default" w:ascii="楷体_GB2312" w:hAnsi="楷体_GB2312" w:eastAsia="楷体_GB2312" w:cs="楷体_GB2312"/>
              <w:bCs/>
              <w:spacing w:val="8"/>
              <w:sz w:val="32"/>
              <w:szCs w:val="32"/>
              <w:lang w:val="en-US" w:eastAsia="zh-CN"/>
            </w:rPr>
            <w:t>风险点位分级处置​</w:t>
          </w:r>
          <w:r>
            <w:rPr>
              <w:sz w:val="32"/>
              <w:szCs w:val="32"/>
            </w:rPr>
            <w:tab/>
          </w:r>
          <w:r>
            <w:rPr>
              <w:sz w:val="32"/>
              <w:szCs w:val="32"/>
            </w:rPr>
            <w:fldChar w:fldCharType="begin"/>
          </w:r>
          <w:r>
            <w:rPr>
              <w:sz w:val="32"/>
              <w:szCs w:val="32"/>
            </w:rPr>
            <w:instrText xml:space="preserve"> PAGEREF _Toc635 \h </w:instrText>
          </w:r>
          <w:r>
            <w:rPr>
              <w:sz w:val="32"/>
              <w:szCs w:val="32"/>
            </w:rPr>
            <w:fldChar w:fldCharType="separate"/>
          </w:r>
          <w:r>
            <w:rPr>
              <w:sz w:val="32"/>
              <w:szCs w:val="32"/>
            </w:rPr>
            <w:t>- 21 -</w:t>
          </w:r>
          <w:r>
            <w:rPr>
              <w:sz w:val="32"/>
              <w:szCs w:val="32"/>
            </w:rPr>
            <w:fldChar w:fldCharType="end"/>
          </w:r>
          <w:r>
            <w:rPr>
              <w:sz w:val="32"/>
              <w:szCs w:val="32"/>
            </w:rPr>
            <w:fldChar w:fldCharType="end"/>
          </w:r>
        </w:p>
        <w:p w14:paraId="1A294BD2">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_Toc5148 </w:instrText>
          </w:r>
          <w:r>
            <w:rPr>
              <w:sz w:val="32"/>
              <w:szCs w:val="32"/>
            </w:rPr>
            <w:fldChar w:fldCharType="separate"/>
          </w:r>
          <w:r>
            <w:rPr>
              <w:rFonts w:hint="eastAsia" w:ascii="黑体" w:hAnsi="黑体" w:eastAsia="黑体" w:cs="黑体"/>
              <w:bCs w:val="0"/>
              <w:spacing w:val="2"/>
              <w:sz w:val="32"/>
              <w:szCs w:val="32"/>
              <w:lang w:val="en-US" w:eastAsia="zh-CN"/>
            </w:rPr>
            <w:t>三、</w:t>
          </w:r>
          <w:r>
            <w:rPr>
              <w:rFonts w:hint="default" w:ascii="黑体" w:hAnsi="黑体" w:eastAsia="黑体" w:cs="黑体"/>
              <w:bCs w:val="0"/>
              <w:spacing w:val="2"/>
              <w:sz w:val="32"/>
              <w:szCs w:val="32"/>
              <w:lang w:val="en-US" w:eastAsia="zh-CN"/>
            </w:rPr>
            <w:t>治理工作方式​</w:t>
          </w:r>
          <w:r>
            <w:rPr>
              <w:sz w:val="32"/>
              <w:szCs w:val="32"/>
            </w:rPr>
            <w:tab/>
          </w:r>
          <w:r>
            <w:rPr>
              <w:sz w:val="32"/>
              <w:szCs w:val="32"/>
            </w:rPr>
            <w:fldChar w:fldCharType="begin"/>
          </w:r>
          <w:r>
            <w:rPr>
              <w:sz w:val="32"/>
              <w:szCs w:val="32"/>
            </w:rPr>
            <w:instrText xml:space="preserve"> PAGEREF _Toc5148 \h </w:instrText>
          </w:r>
          <w:r>
            <w:rPr>
              <w:sz w:val="32"/>
              <w:szCs w:val="32"/>
            </w:rPr>
            <w:fldChar w:fldCharType="separate"/>
          </w:r>
          <w:r>
            <w:rPr>
              <w:sz w:val="32"/>
              <w:szCs w:val="32"/>
            </w:rPr>
            <w:t>- 22 -</w:t>
          </w:r>
          <w:r>
            <w:rPr>
              <w:sz w:val="32"/>
              <w:szCs w:val="32"/>
            </w:rPr>
            <w:fldChar w:fldCharType="end"/>
          </w:r>
          <w:r>
            <w:rPr>
              <w:sz w:val="32"/>
              <w:szCs w:val="32"/>
            </w:rPr>
            <w:fldChar w:fldCharType="end"/>
          </w:r>
        </w:p>
        <w:p w14:paraId="417D79E4">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_Toc2968 </w:instrText>
          </w:r>
          <w:r>
            <w:rPr>
              <w:sz w:val="32"/>
              <w:szCs w:val="32"/>
            </w:rPr>
            <w:fldChar w:fldCharType="separate"/>
          </w:r>
          <w:r>
            <w:rPr>
              <w:rFonts w:hint="eastAsia" w:ascii="楷体_GB2312" w:hAnsi="楷体_GB2312" w:eastAsia="楷体_GB2312" w:cs="楷体_GB2312"/>
              <w:bCs/>
              <w:spacing w:val="8"/>
              <w:sz w:val="32"/>
              <w:szCs w:val="32"/>
              <w:lang w:val="en-US" w:eastAsia="zh-CN"/>
            </w:rPr>
            <w:t>（一）</w:t>
          </w:r>
          <w:r>
            <w:rPr>
              <w:rFonts w:hint="default" w:ascii="楷体_GB2312" w:hAnsi="楷体_GB2312" w:eastAsia="楷体_GB2312" w:cs="楷体_GB2312"/>
              <w:bCs/>
              <w:spacing w:val="8"/>
              <w:sz w:val="32"/>
              <w:szCs w:val="32"/>
              <w:lang w:val="en-US" w:eastAsia="zh-CN"/>
            </w:rPr>
            <w:t>排查评估机制​</w:t>
          </w:r>
          <w:r>
            <w:rPr>
              <w:sz w:val="32"/>
              <w:szCs w:val="32"/>
            </w:rPr>
            <w:tab/>
          </w:r>
          <w:r>
            <w:rPr>
              <w:sz w:val="32"/>
              <w:szCs w:val="32"/>
            </w:rPr>
            <w:fldChar w:fldCharType="begin"/>
          </w:r>
          <w:r>
            <w:rPr>
              <w:sz w:val="32"/>
              <w:szCs w:val="32"/>
            </w:rPr>
            <w:instrText xml:space="preserve"> PAGEREF _Toc2968 \h </w:instrText>
          </w:r>
          <w:r>
            <w:rPr>
              <w:sz w:val="32"/>
              <w:szCs w:val="32"/>
            </w:rPr>
            <w:fldChar w:fldCharType="separate"/>
          </w:r>
          <w:r>
            <w:rPr>
              <w:sz w:val="32"/>
              <w:szCs w:val="32"/>
            </w:rPr>
            <w:t>- 22 -</w:t>
          </w:r>
          <w:r>
            <w:rPr>
              <w:sz w:val="32"/>
              <w:szCs w:val="32"/>
            </w:rPr>
            <w:fldChar w:fldCharType="end"/>
          </w:r>
          <w:r>
            <w:rPr>
              <w:sz w:val="32"/>
              <w:szCs w:val="32"/>
            </w:rPr>
            <w:fldChar w:fldCharType="end"/>
          </w:r>
        </w:p>
        <w:p w14:paraId="4B99E028">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_Toc23545 </w:instrText>
          </w:r>
          <w:r>
            <w:rPr>
              <w:sz w:val="32"/>
              <w:szCs w:val="32"/>
            </w:rPr>
            <w:fldChar w:fldCharType="separate"/>
          </w:r>
          <w:r>
            <w:rPr>
              <w:rFonts w:hint="eastAsia" w:ascii="楷体_GB2312" w:hAnsi="楷体_GB2312" w:eastAsia="楷体_GB2312" w:cs="楷体_GB2312"/>
              <w:bCs/>
              <w:spacing w:val="8"/>
              <w:sz w:val="32"/>
              <w:szCs w:val="32"/>
              <w:lang w:val="en-US" w:eastAsia="zh-CN"/>
            </w:rPr>
            <w:t>（二）</w:t>
          </w:r>
          <w:r>
            <w:rPr>
              <w:rFonts w:hint="default" w:ascii="楷体_GB2312" w:hAnsi="楷体_GB2312" w:eastAsia="楷体_GB2312" w:cs="楷体_GB2312"/>
              <w:bCs/>
              <w:spacing w:val="8"/>
              <w:sz w:val="32"/>
              <w:szCs w:val="32"/>
              <w:lang w:val="en-US" w:eastAsia="zh-CN"/>
            </w:rPr>
            <w:t>分类处置路径​</w:t>
          </w:r>
          <w:r>
            <w:rPr>
              <w:sz w:val="32"/>
              <w:szCs w:val="32"/>
            </w:rPr>
            <w:tab/>
          </w:r>
          <w:r>
            <w:rPr>
              <w:sz w:val="32"/>
              <w:szCs w:val="32"/>
            </w:rPr>
            <w:fldChar w:fldCharType="begin"/>
          </w:r>
          <w:r>
            <w:rPr>
              <w:sz w:val="32"/>
              <w:szCs w:val="32"/>
            </w:rPr>
            <w:instrText xml:space="preserve"> PAGEREF _Toc23545 \h </w:instrText>
          </w:r>
          <w:r>
            <w:rPr>
              <w:sz w:val="32"/>
              <w:szCs w:val="32"/>
            </w:rPr>
            <w:fldChar w:fldCharType="separate"/>
          </w:r>
          <w:r>
            <w:rPr>
              <w:sz w:val="32"/>
              <w:szCs w:val="32"/>
            </w:rPr>
            <w:t>- 22 -</w:t>
          </w:r>
          <w:r>
            <w:rPr>
              <w:sz w:val="32"/>
              <w:szCs w:val="32"/>
            </w:rPr>
            <w:fldChar w:fldCharType="end"/>
          </w:r>
          <w:r>
            <w:rPr>
              <w:sz w:val="32"/>
              <w:szCs w:val="32"/>
            </w:rPr>
            <w:fldChar w:fldCharType="end"/>
          </w:r>
        </w:p>
        <w:p w14:paraId="60537D0E">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_Toc21127 </w:instrText>
          </w:r>
          <w:r>
            <w:rPr>
              <w:sz w:val="32"/>
              <w:szCs w:val="32"/>
            </w:rPr>
            <w:fldChar w:fldCharType="separate"/>
          </w:r>
          <w:r>
            <w:rPr>
              <w:rFonts w:hint="eastAsia" w:ascii="楷体_GB2312" w:hAnsi="楷体_GB2312" w:eastAsia="楷体_GB2312" w:cs="楷体_GB2312"/>
              <w:bCs/>
              <w:spacing w:val="8"/>
              <w:sz w:val="32"/>
              <w:szCs w:val="32"/>
              <w:lang w:val="en-US" w:eastAsia="zh-CN"/>
            </w:rPr>
            <w:t>（三）</w:t>
          </w:r>
          <w:r>
            <w:rPr>
              <w:rFonts w:hint="default" w:ascii="楷体_GB2312" w:hAnsi="楷体_GB2312" w:eastAsia="楷体_GB2312" w:cs="楷体_GB2312"/>
              <w:bCs/>
              <w:spacing w:val="8"/>
              <w:sz w:val="32"/>
              <w:szCs w:val="32"/>
              <w:lang w:val="en-US" w:eastAsia="zh-CN"/>
            </w:rPr>
            <w:t>监管执法措施​</w:t>
          </w:r>
          <w:r>
            <w:rPr>
              <w:sz w:val="32"/>
              <w:szCs w:val="32"/>
            </w:rPr>
            <w:tab/>
          </w:r>
          <w:r>
            <w:rPr>
              <w:sz w:val="32"/>
              <w:szCs w:val="32"/>
            </w:rPr>
            <w:fldChar w:fldCharType="begin"/>
          </w:r>
          <w:r>
            <w:rPr>
              <w:sz w:val="32"/>
              <w:szCs w:val="32"/>
            </w:rPr>
            <w:instrText xml:space="preserve"> PAGEREF _Toc21127 \h </w:instrText>
          </w:r>
          <w:r>
            <w:rPr>
              <w:sz w:val="32"/>
              <w:szCs w:val="32"/>
            </w:rPr>
            <w:fldChar w:fldCharType="separate"/>
          </w:r>
          <w:r>
            <w:rPr>
              <w:sz w:val="32"/>
              <w:szCs w:val="32"/>
            </w:rPr>
            <w:t>- 22 -</w:t>
          </w:r>
          <w:r>
            <w:rPr>
              <w:sz w:val="32"/>
              <w:szCs w:val="32"/>
            </w:rPr>
            <w:fldChar w:fldCharType="end"/>
          </w:r>
          <w:r>
            <w:rPr>
              <w:sz w:val="32"/>
              <w:szCs w:val="32"/>
            </w:rPr>
            <w:fldChar w:fldCharType="end"/>
          </w:r>
        </w:p>
        <w:p w14:paraId="4B614091">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p>
        <w:p w14:paraId="468E9896">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_Toc21308 </w:instrText>
          </w:r>
          <w:r>
            <w:rPr>
              <w:sz w:val="32"/>
              <w:szCs w:val="32"/>
            </w:rPr>
            <w:fldChar w:fldCharType="separate"/>
          </w:r>
          <w:r>
            <w:rPr>
              <w:rFonts w:hint="eastAsia" w:ascii="黑体" w:hAnsi="黑体" w:eastAsia="黑体" w:cs="黑体"/>
              <w:spacing w:val="7"/>
              <w:sz w:val="32"/>
              <w:szCs w:val="32"/>
              <w:lang w:val="en-US" w:eastAsia="zh-CN"/>
            </w:rPr>
            <w:t>第八章 环境影响与污染防治​</w:t>
          </w:r>
          <w:r>
            <w:rPr>
              <w:sz w:val="32"/>
              <w:szCs w:val="32"/>
            </w:rPr>
            <w:tab/>
          </w:r>
          <w:r>
            <w:rPr>
              <w:sz w:val="32"/>
              <w:szCs w:val="32"/>
            </w:rPr>
            <w:fldChar w:fldCharType="begin"/>
          </w:r>
          <w:r>
            <w:rPr>
              <w:sz w:val="32"/>
              <w:szCs w:val="32"/>
            </w:rPr>
            <w:instrText xml:space="preserve"> PAGEREF _Toc21308 \h </w:instrText>
          </w:r>
          <w:r>
            <w:rPr>
              <w:sz w:val="32"/>
              <w:szCs w:val="32"/>
            </w:rPr>
            <w:fldChar w:fldCharType="separate"/>
          </w:r>
          <w:r>
            <w:rPr>
              <w:sz w:val="32"/>
              <w:szCs w:val="32"/>
            </w:rPr>
            <w:t>- 23 -</w:t>
          </w:r>
          <w:r>
            <w:rPr>
              <w:sz w:val="32"/>
              <w:szCs w:val="32"/>
            </w:rPr>
            <w:fldChar w:fldCharType="end"/>
          </w:r>
          <w:r>
            <w:rPr>
              <w:sz w:val="32"/>
              <w:szCs w:val="32"/>
            </w:rPr>
            <w:fldChar w:fldCharType="end"/>
          </w:r>
        </w:p>
        <w:p w14:paraId="76809EF7">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_Toc4527 </w:instrText>
          </w:r>
          <w:r>
            <w:rPr>
              <w:sz w:val="32"/>
              <w:szCs w:val="32"/>
            </w:rPr>
            <w:fldChar w:fldCharType="separate"/>
          </w:r>
          <w:r>
            <w:rPr>
              <w:rFonts w:hint="eastAsia" w:ascii="黑体" w:hAnsi="黑体" w:eastAsia="黑体" w:cs="黑体"/>
              <w:bCs w:val="0"/>
              <w:spacing w:val="2"/>
              <w:sz w:val="32"/>
              <w:szCs w:val="32"/>
              <w:lang w:val="en-US" w:eastAsia="zh-CN"/>
            </w:rPr>
            <w:t>一、总体要求​</w:t>
          </w:r>
          <w:r>
            <w:rPr>
              <w:sz w:val="32"/>
              <w:szCs w:val="32"/>
            </w:rPr>
            <w:tab/>
          </w:r>
          <w:r>
            <w:rPr>
              <w:sz w:val="32"/>
              <w:szCs w:val="32"/>
            </w:rPr>
            <w:fldChar w:fldCharType="begin"/>
          </w:r>
          <w:r>
            <w:rPr>
              <w:sz w:val="32"/>
              <w:szCs w:val="32"/>
            </w:rPr>
            <w:instrText xml:space="preserve"> PAGEREF _Toc4527 \h </w:instrText>
          </w:r>
          <w:r>
            <w:rPr>
              <w:sz w:val="32"/>
              <w:szCs w:val="32"/>
            </w:rPr>
            <w:fldChar w:fldCharType="separate"/>
          </w:r>
          <w:r>
            <w:rPr>
              <w:sz w:val="32"/>
              <w:szCs w:val="32"/>
            </w:rPr>
            <w:t>- 23 -</w:t>
          </w:r>
          <w:r>
            <w:rPr>
              <w:sz w:val="32"/>
              <w:szCs w:val="32"/>
            </w:rPr>
            <w:fldChar w:fldCharType="end"/>
          </w:r>
          <w:r>
            <w:rPr>
              <w:sz w:val="32"/>
              <w:szCs w:val="32"/>
            </w:rPr>
            <w:fldChar w:fldCharType="end"/>
          </w:r>
        </w:p>
        <w:p w14:paraId="1BFDDD06">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_Toc2962 </w:instrText>
          </w:r>
          <w:r>
            <w:rPr>
              <w:sz w:val="32"/>
              <w:szCs w:val="32"/>
            </w:rPr>
            <w:fldChar w:fldCharType="separate"/>
          </w:r>
          <w:r>
            <w:rPr>
              <w:rFonts w:hint="eastAsia" w:ascii="黑体" w:hAnsi="黑体" w:eastAsia="黑体" w:cs="黑体"/>
              <w:bCs w:val="0"/>
              <w:spacing w:val="2"/>
              <w:sz w:val="32"/>
              <w:szCs w:val="32"/>
              <w:lang w:val="en-US" w:eastAsia="zh-CN"/>
            </w:rPr>
            <w:t>二、环境影响分析​</w:t>
          </w:r>
          <w:r>
            <w:rPr>
              <w:sz w:val="32"/>
              <w:szCs w:val="32"/>
            </w:rPr>
            <w:tab/>
          </w:r>
          <w:r>
            <w:rPr>
              <w:sz w:val="32"/>
              <w:szCs w:val="32"/>
            </w:rPr>
            <w:fldChar w:fldCharType="begin"/>
          </w:r>
          <w:r>
            <w:rPr>
              <w:sz w:val="32"/>
              <w:szCs w:val="32"/>
            </w:rPr>
            <w:instrText xml:space="preserve"> PAGEREF _Toc2962 \h </w:instrText>
          </w:r>
          <w:r>
            <w:rPr>
              <w:sz w:val="32"/>
              <w:szCs w:val="32"/>
            </w:rPr>
            <w:fldChar w:fldCharType="separate"/>
          </w:r>
          <w:r>
            <w:rPr>
              <w:sz w:val="32"/>
              <w:szCs w:val="32"/>
            </w:rPr>
            <w:t>- 23 -</w:t>
          </w:r>
          <w:r>
            <w:rPr>
              <w:sz w:val="32"/>
              <w:szCs w:val="32"/>
            </w:rPr>
            <w:fldChar w:fldCharType="end"/>
          </w:r>
          <w:r>
            <w:rPr>
              <w:sz w:val="32"/>
              <w:szCs w:val="32"/>
            </w:rPr>
            <w:fldChar w:fldCharType="end"/>
          </w:r>
        </w:p>
        <w:p w14:paraId="0108472E">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_Toc22881 </w:instrText>
          </w:r>
          <w:r>
            <w:rPr>
              <w:sz w:val="32"/>
              <w:szCs w:val="32"/>
            </w:rPr>
            <w:fldChar w:fldCharType="separate"/>
          </w:r>
          <w:r>
            <w:rPr>
              <w:rFonts w:hint="eastAsia" w:ascii="楷体_GB2312" w:hAnsi="楷体_GB2312" w:eastAsia="楷体_GB2312" w:cs="楷体_GB2312"/>
              <w:bCs/>
              <w:spacing w:val="8"/>
              <w:sz w:val="32"/>
              <w:szCs w:val="32"/>
              <w:lang w:val="en-US" w:eastAsia="zh-CN"/>
            </w:rPr>
            <w:t>（一）施工期环境影响​</w:t>
          </w:r>
          <w:r>
            <w:rPr>
              <w:sz w:val="32"/>
              <w:szCs w:val="32"/>
            </w:rPr>
            <w:tab/>
          </w:r>
          <w:r>
            <w:rPr>
              <w:sz w:val="32"/>
              <w:szCs w:val="32"/>
            </w:rPr>
            <w:fldChar w:fldCharType="begin"/>
          </w:r>
          <w:r>
            <w:rPr>
              <w:sz w:val="32"/>
              <w:szCs w:val="32"/>
            </w:rPr>
            <w:instrText xml:space="preserve"> PAGEREF _Toc22881 \h </w:instrText>
          </w:r>
          <w:r>
            <w:rPr>
              <w:sz w:val="32"/>
              <w:szCs w:val="32"/>
            </w:rPr>
            <w:fldChar w:fldCharType="separate"/>
          </w:r>
          <w:r>
            <w:rPr>
              <w:sz w:val="32"/>
              <w:szCs w:val="32"/>
            </w:rPr>
            <w:t>- 23 -</w:t>
          </w:r>
          <w:r>
            <w:rPr>
              <w:sz w:val="32"/>
              <w:szCs w:val="32"/>
            </w:rPr>
            <w:fldChar w:fldCharType="end"/>
          </w:r>
          <w:r>
            <w:rPr>
              <w:sz w:val="32"/>
              <w:szCs w:val="32"/>
            </w:rPr>
            <w:fldChar w:fldCharType="end"/>
          </w:r>
        </w:p>
        <w:p w14:paraId="501BA018">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_Toc27643 </w:instrText>
          </w:r>
          <w:r>
            <w:rPr>
              <w:sz w:val="32"/>
              <w:szCs w:val="32"/>
            </w:rPr>
            <w:fldChar w:fldCharType="separate"/>
          </w:r>
          <w:r>
            <w:rPr>
              <w:rFonts w:hint="eastAsia" w:ascii="楷体_GB2312" w:hAnsi="楷体_GB2312" w:eastAsia="楷体_GB2312" w:cs="楷体_GB2312"/>
              <w:bCs/>
              <w:spacing w:val="8"/>
              <w:sz w:val="32"/>
              <w:szCs w:val="32"/>
              <w:lang w:val="en-US" w:eastAsia="zh-CN"/>
            </w:rPr>
            <w:t>（二）运营期环境影响​</w:t>
          </w:r>
          <w:r>
            <w:rPr>
              <w:sz w:val="32"/>
              <w:szCs w:val="32"/>
            </w:rPr>
            <w:tab/>
          </w:r>
          <w:r>
            <w:rPr>
              <w:sz w:val="32"/>
              <w:szCs w:val="32"/>
            </w:rPr>
            <w:fldChar w:fldCharType="begin"/>
          </w:r>
          <w:r>
            <w:rPr>
              <w:sz w:val="32"/>
              <w:szCs w:val="32"/>
            </w:rPr>
            <w:instrText xml:space="preserve"> PAGEREF _Toc27643 \h </w:instrText>
          </w:r>
          <w:r>
            <w:rPr>
              <w:sz w:val="32"/>
              <w:szCs w:val="32"/>
            </w:rPr>
            <w:fldChar w:fldCharType="separate"/>
          </w:r>
          <w:r>
            <w:rPr>
              <w:sz w:val="32"/>
              <w:szCs w:val="32"/>
            </w:rPr>
            <w:t>- 23 -</w:t>
          </w:r>
          <w:r>
            <w:rPr>
              <w:sz w:val="32"/>
              <w:szCs w:val="32"/>
            </w:rPr>
            <w:fldChar w:fldCharType="end"/>
          </w:r>
          <w:r>
            <w:rPr>
              <w:sz w:val="32"/>
              <w:szCs w:val="32"/>
            </w:rPr>
            <w:fldChar w:fldCharType="end"/>
          </w:r>
        </w:p>
        <w:p w14:paraId="18E76FCA">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_Toc29901 </w:instrText>
          </w:r>
          <w:r>
            <w:rPr>
              <w:sz w:val="32"/>
              <w:szCs w:val="32"/>
            </w:rPr>
            <w:fldChar w:fldCharType="separate"/>
          </w:r>
          <w:r>
            <w:rPr>
              <w:rFonts w:hint="eastAsia" w:ascii="黑体" w:hAnsi="黑体" w:eastAsia="黑体" w:cs="黑体"/>
              <w:bCs w:val="0"/>
              <w:spacing w:val="2"/>
              <w:sz w:val="32"/>
              <w:szCs w:val="32"/>
              <w:lang w:val="en-US" w:eastAsia="zh-CN"/>
            </w:rPr>
            <w:t>三、污染防治对策​</w:t>
          </w:r>
          <w:r>
            <w:rPr>
              <w:sz w:val="32"/>
              <w:szCs w:val="32"/>
            </w:rPr>
            <w:tab/>
          </w:r>
          <w:r>
            <w:rPr>
              <w:sz w:val="32"/>
              <w:szCs w:val="32"/>
            </w:rPr>
            <w:fldChar w:fldCharType="begin"/>
          </w:r>
          <w:r>
            <w:rPr>
              <w:sz w:val="32"/>
              <w:szCs w:val="32"/>
            </w:rPr>
            <w:instrText xml:space="preserve"> PAGEREF _Toc29901 \h </w:instrText>
          </w:r>
          <w:r>
            <w:rPr>
              <w:sz w:val="32"/>
              <w:szCs w:val="32"/>
            </w:rPr>
            <w:fldChar w:fldCharType="separate"/>
          </w:r>
          <w:r>
            <w:rPr>
              <w:sz w:val="32"/>
              <w:szCs w:val="32"/>
            </w:rPr>
            <w:t>- 24 -</w:t>
          </w:r>
          <w:r>
            <w:rPr>
              <w:sz w:val="32"/>
              <w:szCs w:val="32"/>
            </w:rPr>
            <w:fldChar w:fldCharType="end"/>
          </w:r>
          <w:r>
            <w:rPr>
              <w:sz w:val="32"/>
              <w:szCs w:val="32"/>
            </w:rPr>
            <w:fldChar w:fldCharType="end"/>
          </w:r>
        </w:p>
        <w:p w14:paraId="5845E9E9">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_Toc14951 </w:instrText>
          </w:r>
          <w:r>
            <w:rPr>
              <w:sz w:val="32"/>
              <w:szCs w:val="32"/>
            </w:rPr>
            <w:fldChar w:fldCharType="separate"/>
          </w:r>
          <w:r>
            <w:rPr>
              <w:rFonts w:hint="eastAsia" w:ascii="楷体_GB2312" w:hAnsi="楷体_GB2312" w:eastAsia="楷体_GB2312" w:cs="楷体_GB2312"/>
              <w:bCs/>
              <w:spacing w:val="8"/>
              <w:sz w:val="32"/>
              <w:szCs w:val="32"/>
              <w:lang w:val="en-US" w:eastAsia="zh-CN"/>
            </w:rPr>
            <w:t>（一）大气污染防治​</w:t>
          </w:r>
          <w:r>
            <w:rPr>
              <w:sz w:val="32"/>
              <w:szCs w:val="32"/>
            </w:rPr>
            <w:tab/>
          </w:r>
          <w:r>
            <w:rPr>
              <w:sz w:val="32"/>
              <w:szCs w:val="32"/>
            </w:rPr>
            <w:fldChar w:fldCharType="begin"/>
          </w:r>
          <w:r>
            <w:rPr>
              <w:sz w:val="32"/>
              <w:szCs w:val="32"/>
            </w:rPr>
            <w:instrText xml:space="preserve"> PAGEREF _Toc14951 \h </w:instrText>
          </w:r>
          <w:r>
            <w:rPr>
              <w:sz w:val="32"/>
              <w:szCs w:val="32"/>
            </w:rPr>
            <w:fldChar w:fldCharType="separate"/>
          </w:r>
          <w:r>
            <w:rPr>
              <w:sz w:val="32"/>
              <w:szCs w:val="32"/>
            </w:rPr>
            <w:t>- 24 -</w:t>
          </w:r>
          <w:r>
            <w:rPr>
              <w:sz w:val="32"/>
              <w:szCs w:val="32"/>
            </w:rPr>
            <w:fldChar w:fldCharType="end"/>
          </w:r>
          <w:r>
            <w:rPr>
              <w:sz w:val="32"/>
              <w:szCs w:val="32"/>
            </w:rPr>
            <w:fldChar w:fldCharType="end"/>
          </w:r>
        </w:p>
        <w:p w14:paraId="3B9AF297">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_Toc9111 </w:instrText>
          </w:r>
          <w:r>
            <w:rPr>
              <w:sz w:val="32"/>
              <w:szCs w:val="32"/>
            </w:rPr>
            <w:fldChar w:fldCharType="separate"/>
          </w:r>
          <w:r>
            <w:rPr>
              <w:rFonts w:hint="eastAsia" w:ascii="楷体_GB2312" w:hAnsi="楷体_GB2312" w:eastAsia="楷体_GB2312" w:cs="楷体_GB2312"/>
              <w:bCs/>
              <w:spacing w:val="8"/>
              <w:sz w:val="32"/>
              <w:szCs w:val="32"/>
              <w:lang w:val="en-US" w:eastAsia="zh-CN"/>
            </w:rPr>
            <w:t>（二）水污染防治​</w:t>
          </w:r>
          <w:r>
            <w:rPr>
              <w:sz w:val="32"/>
              <w:szCs w:val="32"/>
            </w:rPr>
            <w:tab/>
          </w:r>
          <w:r>
            <w:rPr>
              <w:sz w:val="32"/>
              <w:szCs w:val="32"/>
            </w:rPr>
            <w:fldChar w:fldCharType="begin"/>
          </w:r>
          <w:r>
            <w:rPr>
              <w:sz w:val="32"/>
              <w:szCs w:val="32"/>
            </w:rPr>
            <w:instrText xml:space="preserve"> PAGEREF _Toc9111 \h </w:instrText>
          </w:r>
          <w:r>
            <w:rPr>
              <w:sz w:val="32"/>
              <w:szCs w:val="32"/>
            </w:rPr>
            <w:fldChar w:fldCharType="separate"/>
          </w:r>
          <w:r>
            <w:rPr>
              <w:sz w:val="32"/>
              <w:szCs w:val="32"/>
            </w:rPr>
            <w:t>- 24 -</w:t>
          </w:r>
          <w:r>
            <w:rPr>
              <w:sz w:val="32"/>
              <w:szCs w:val="32"/>
            </w:rPr>
            <w:fldChar w:fldCharType="end"/>
          </w:r>
          <w:r>
            <w:rPr>
              <w:sz w:val="32"/>
              <w:szCs w:val="32"/>
            </w:rPr>
            <w:fldChar w:fldCharType="end"/>
          </w:r>
        </w:p>
        <w:p w14:paraId="6F7C810A">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_Toc27518 </w:instrText>
          </w:r>
          <w:r>
            <w:rPr>
              <w:sz w:val="32"/>
              <w:szCs w:val="32"/>
            </w:rPr>
            <w:fldChar w:fldCharType="separate"/>
          </w:r>
          <w:r>
            <w:rPr>
              <w:rFonts w:hint="eastAsia" w:ascii="楷体_GB2312" w:hAnsi="楷体_GB2312" w:eastAsia="楷体_GB2312" w:cs="楷体_GB2312"/>
              <w:bCs/>
              <w:spacing w:val="8"/>
              <w:sz w:val="32"/>
              <w:szCs w:val="32"/>
              <w:lang w:val="en-US" w:eastAsia="zh-CN"/>
            </w:rPr>
            <w:t>（三）噪声污染防治​</w:t>
          </w:r>
          <w:r>
            <w:rPr>
              <w:sz w:val="32"/>
              <w:szCs w:val="32"/>
            </w:rPr>
            <w:tab/>
          </w:r>
          <w:r>
            <w:rPr>
              <w:sz w:val="32"/>
              <w:szCs w:val="32"/>
            </w:rPr>
            <w:fldChar w:fldCharType="begin"/>
          </w:r>
          <w:r>
            <w:rPr>
              <w:sz w:val="32"/>
              <w:szCs w:val="32"/>
            </w:rPr>
            <w:instrText xml:space="preserve"> PAGEREF _Toc27518 \h </w:instrText>
          </w:r>
          <w:r>
            <w:rPr>
              <w:sz w:val="32"/>
              <w:szCs w:val="32"/>
            </w:rPr>
            <w:fldChar w:fldCharType="separate"/>
          </w:r>
          <w:r>
            <w:rPr>
              <w:sz w:val="32"/>
              <w:szCs w:val="32"/>
            </w:rPr>
            <w:t>- 25 -</w:t>
          </w:r>
          <w:r>
            <w:rPr>
              <w:sz w:val="32"/>
              <w:szCs w:val="32"/>
            </w:rPr>
            <w:fldChar w:fldCharType="end"/>
          </w:r>
          <w:r>
            <w:rPr>
              <w:sz w:val="32"/>
              <w:szCs w:val="32"/>
            </w:rPr>
            <w:fldChar w:fldCharType="end"/>
          </w:r>
        </w:p>
        <w:p w14:paraId="3F3A2691">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_Toc13589 </w:instrText>
          </w:r>
          <w:r>
            <w:rPr>
              <w:sz w:val="32"/>
              <w:szCs w:val="32"/>
            </w:rPr>
            <w:fldChar w:fldCharType="separate"/>
          </w:r>
          <w:r>
            <w:rPr>
              <w:rFonts w:hint="eastAsia" w:ascii="楷体_GB2312" w:hAnsi="楷体_GB2312" w:eastAsia="楷体_GB2312" w:cs="楷体_GB2312"/>
              <w:bCs/>
              <w:spacing w:val="8"/>
              <w:sz w:val="32"/>
              <w:szCs w:val="32"/>
              <w:lang w:val="en-US" w:eastAsia="zh-CN"/>
            </w:rPr>
            <w:t>（四）土壤污染防治​</w:t>
          </w:r>
          <w:r>
            <w:rPr>
              <w:sz w:val="32"/>
              <w:szCs w:val="32"/>
            </w:rPr>
            <w:tab/>
          </w:r>
          <w:r>
            <w:rPr>
              <w:sz w:val="32"/>
              <w:szCs w:val="32"/>
            </w:rPr>
            <w:fldChar w:fldCharType="begin"/>
          </w:r>
          <w:r>
            <w:rPr>
              <w:sz w:val="32"/>
              <w:szCs w:val="32"/>
            </w:rPr>
            <w:instrText xml:space="preserve"> PAGEREF _Toc13589 \h </w:instrText>
          </w:r>
          <w:r>
            <w:rPr>
              <w:sz w:val="32"/>
              <w:szCs w:val="32"/>
            </w:rPr>
            <w:fldChar w:fldCharType="separate"/>
          </w:r>
          <w:r>
            <w:rPr>
              <w:sz w:val="32"/>
              <w:szCs w:val="32"/>
            </w:rPr>
            <w:t>- 25 -</w:t>
          </w:r>
          <w:r>
            <w:rPr>
              <w:sz w:val="32"/>
              <w:szCs w:val="32"/>
            </w:rPr>
            <w:fldChar w:fldCharType="end"/>
          </w:r>
          <w:r>
            <w:rPr>
              <w:sz w:val="32"/>
              <w:szCs w:val="32"/>
            </w:rPr>
            <w:fldChar w:fldCharType="end"/>
          </w:r>
        </w:p>
        <w:p w14:paraId="09A0B01F">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_Toc12640 </w:instrText>
          </w:r>
          <w:r>
            <w:rPr>
              <w:sz w:val="32"/>
              <w:szCs w:val="32"/>
            </w:rPr>
            <w:fldChar w:fldCharType="separate"/>
          </w:r>
          <w:r>
            <w:rPr>
              <w:rFonts w:hint="eastAsia" w:ascii="黑体" w:hAnsi="黑体" w:eastAsia="黑体" w:cs="黑体"/>
              <w:bCs w:val="0"/>
              <w:spacing w:val="2"/>
              <w:sz w:val="32"/>
              <w:szCs w:val="32"/>
              <w:lang w:val="en-US" w:eastAsia="zh-CN"/>
            </w:rPr>
            <w:t>四、环境监测​</w:t>
          </w:r>
          <w:r>
            <w:rPr>
              <w:sz w:val="32"/>
              <w:szCs w:val="32"/>
            </w:rPr>
            <w:tab/>
          </w:r>
          <w:r>
            <w:rPr>
              <w:sz w:val="32"/>
              <w:szCs w:val="32"/>
            </w:rPr>
            <w:fldChar w:fldCharType="begin"/>
          </w:r>
          <w:r>
            <w:rPr>
              <w:sz w:val="32"/>
              <w:szCs w:val="32"/>
            </w:rPr>
            <w:instrText xml:space="preserve"> PAGEREF _Toc12640 \h </w:instrText>
          </w:r>
          <w:r>
            <w:rPr>
              <w:sz w:val="32"/>
              <w:szCs w:val="32"/>
            </w:rPr>
            <w:fldChar w:fldCharType="separate"/>
          </w:r>
          <w:r>
            <w:rPr>
              <w:sz w:val="32"/>
              <w:szCs w:val="32"/>
            </w:rPr>
            <w:t>- 25 -</w:t>
          </w:r>
          <w:r>
            <w:rPr>
              <w:sz w:val="32"/>
              <w:szCs w:val="32"/>
            </w:rPr>
            <w:fldChar w:fldCharType="end"/>
          </w:r>
          <w:r>
            <w:rPr>
              <w:sz w:val="32"/>
              <w:szCs w:val="32"/>
            </w:rPr>
            <w:fldChar w:fldCharType="end"/>
          </w:r>
        </w:p>
        <w:p w14:paraId="1FE438C9">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_Toc14972 </w:instrText>
          </w:r>
          <w:r>
            <w:rPr>
              <w:sz w:val="32"/>
              <w:szCs w:val="32"/>
            </w:rPr>
            <w:fldChar w:fldCharType="separate"/>
          </w:r>
          <w:r>
            <w:rPr>
              <w:rFonts w:hint="eastAsia" w:ascii="楷体_GB2312" w:hAnsi="楷体_GB2312" w:eastAsia="楷体_GB2312" w:cs="楷体_GB2312"/>
              <w:bCs/>
              <w:spacing w:val="8"/>
              <w:sz w:val="32"/>
              <w:szCs w:val="32"/>
              <w:lang w:val="en-US" w:eastAsia="zh-CN"/>
            </w:rPr>
            <w:t>（一）监测计划制定​</w:t>
          </w:r>
          <w:r>
            <w:rPr>
              <w:sz w:val="32"/>
              <w:szCs w:val="32"/>
            </w:rPr>
            <w:tab/>
          </w:r>
          <w:r>
            <w:rPr>
              <w:sz w:val="32"/>
              <w:szCs w:val="32"/>
            </w:rPr>
            <w:fldChar w:fldCharType="begin"/>
          </w:r>
          <w:r>
            <w:rPr>
              <w:sz w:val="32"/>
              <w:szCs w:val="32"/>
            </w:rPr>
            <w:instrText xml:space="preserve"> PAGEREF _Toc14972 \h </w:instrText>
          </w:r>
          <w:r>
            <w:rPr>
              <w:sz w:val="32"/>
              <w:szCs w:val="32"/>
            </w:rPr>
            <w:fldChar w:fldCharType="separate"/>
          </w:r>
          <w:r>
            <w:rPr>
              <w:sz w:val="32"/>
              <w:szCs w:val="32"/>
            </w:rPr>
            <w:t>- 25 -</w:t>
          </w:r>
          <w:r>
            <w:rPr>
              <w:sz w:val="32"/>
              <w:szCs w:val="32"/>
            </w:rPr>
            <w:fldChar w:fldCharType="end"/>
          </w:r>
          <w:r>
            <w:rPr>
              <w:sz w:val="32"/>
              <w:szCs w:val="32"/>
            </w:rPr>
            <w:fldChar w:fldCharType="end"/>
          </w:r>
        </w:p>
        <w:p w14:paraId="08FD5228">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_Toc18844 </w:instrText>
          </w:r>
          <w:r>
            <w:rPr>
              <w:sz w:val="32"/>
              <w:szCs w:val="32"/>
            </w:rPr>
            <w:fldChar w:fldCharType="separate"/>
          </w:r>
          <w:r>
            <w:rPr>
              <w:rFonts w:hint="eastAsia" w:ascii="楷体_GB2312" w:hAnsi="楷体_GB2312" w:eastAsia="楷体_GB2312" w:cs="楷体_GB2312"/>
              <w:bCs/>
              <w:spacing w:val="8"/>
              <w:sz w:val="32"/>
              <w:szCs w:val="32"/>
              <w:lang w:val="en-US" w:eastAsia="zh-CN"/>
            </w:rPr>
            <w:t>（二）监测点位与项目​</w:t>
          </w:r>
          <w:r>
            <w:rPr>
              <w:sz w:val="32"/>
              <w:szCs w:val="32"/>
            </w:rPr>
            <w:tab/>
          </w:r>
          <w:r>
            <w:rPr>
              <w:sz w:val="32"/>
              <w:szCs w:val="32"/>
            </w:rPr>
            <w:fldChar w:fldCharType="begin"/>
          </w:r>
          <w:r>
            <w:rPr>
              <w:sz w:val="32"/>
              <w:szCs w:val="32"/>
            </w:rPr>
            <w:instrText xml:space="preserve"> PAGEREF _Toc18844 \h </w:instrText>
          </w:r>
          <w:r>
            <w:rPr>
              <w:sz w:val="32"/>
              <w:szCs w:val="32"/>
            </w:rPr>
            <w:fldChar w:fldCharType="separate"/>
          </w:r>
          <w:r>
            <w:rPr>
              <w:sz w:val="32"/>
              <w:szCs w:val="32"/>
            </w:rPr>
            <w:t>- 25 -</w:t>
          </w:r>
          <w:r>
            <w:rPr>
              <w:sz w:val="32"/>
              <w:szCs w:val="32"/>
            </w:rPr>
            <w:fldChar w:fldCharType="end"/>
          </w:r>
          <w:r>
            <w:rPr>
              <w:sz w:val="32"/>
              <w:szCs w:val="32"/>
            </w:rPr>
            <w:fldChar w:fldCharType="end"/>
          </w:r>
        </w:p>
        <w:p w14:paraId="5EA1CF2C">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_Toc28558 </w:instrText>
          </w:r>
          <w:r>
            <w:rPr>
              <w:sz w:val="32"/>
              <w:szCs w:val="32"/>
            </w:rPr>
            <w:fldChar w:fldCharType="separate"/>
          </w:r>
          <w:r>
            <w:rPr>
              <w:rFonts w:hint="eastAsia" w:ascii="楷体_GB2312" w:hAnsi="楷体_GB2312" w:eastAsia="楷体_GB2312" w:cs="楷体_GB2312"/>
              <w:bCs/>
              <w:spacing w:val="8"/>
              <w:sz w:val="32"/>
              <w:szCs w:val="32"/>
              <w:lang w:val="en-US" w:eastAsia="zh-CN"/>
            </w:rPr>
            <w:t>（三）监测数据管理与应用​</w:t>
          </w:r>
          <w:r>
            <w:rPr>
              <w:sz w:val="32"/>
              <w:szCs w:val="32"/>
            </w:rPr>
            <w:tab/>
          </w:r>
          <w:r>
            <w:rPr>
              <w:sz w:val="32"/>
              <w:szCs w:val="32"/>
            </w:rPr>
            <w:fldChar w:fldCharType="begin"/>
          </w:r>
          <w:r>
            <w:rPr>
              <w:sz w:val="32"/>
              <w:szCs w:val="32"/>
            </w:rPr>
            <w:instrText xml:space="preserve"> PAGEREF _Toc28558 \h </w:instrText>
          </w:r>
          <w:r>
            <w:rPr>
              <w:sz w:val="32"/>
              <w:szCs w:val="32"/>
            </w:rPr>
            <w:fldChar w:fldCharType="separate"/>
          </w:r>
          <w:r>
            <w:rPr>
              <w:sz w:val="32"/>
              <w:szCs w:val="32"/>
            </w:rPr>
            <w:t>- 27 -</w:t>
          </w:r>
          <w:r>
            <w:rPr>
              <w:sz w:val="32"/>
              <w:szCs w:val="32"/>
            </w:rPr>
            <w:fldChar w:fldCharType="end"/>
          </w:r>
          <w:r>
            <w:rPr>
              <w:sz w:val="32"/>
              <w:szCs w:val="32"/>
            </w:rPr>
            <w:fldChar w:fldCharType="end"/>
          </w:r>
        </w:p>
        <w:p w14:paraId="1E150905">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p>
        <w:p w14:paraId="1C8CAB4B">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_Toc19381 </w:instrText>
          </w:r>
          <w:r>
            <w:rPr>
              <w:sz w:val="32"/>
              <w:szCs w:val="32"/>
            </w:rPr>
            <w:fldChar w:fldCharType="separate"/>
          </w:r>
          <w:r>
            <w:rPr>
              <w:rFonts w:hint="eastAsia" w:ascii="黑体" w:hAnsi="黑体" w:eastAsia="黑体" w:cs="黑体"/>
              <w:spacing w:val="7"/>
              <w:sz w:val="32"/>
              <w:szCs w:val="32"/>
              <w:lang w:val="en-US" w:eastAsia="zh-CN"/>
            </w:rPr>
            <w:t>第九章 监督管理</w:t>
          </w:r>
          <w:r>
            <w:rPr>
              <w:sz w:val="32"/>
              <w:szCs w:val="32"/>
            </w:rPr>
            <w:tab/>
          </w:r>
          <w:r>
            <w:rPr>
              <w:sz w:val="32"/>
              <w:szCs w:val="32"/>
            </w:rPr>
            <w:fldChar w:fldCharType="begin"/>
          </w:r>
          <w:r>
            <w:rPr>
              <w:sz w:val="32"/>
              <w:szCs w:val="32"/>
            </w:rPr>
            <w:instrText xml:space="preserve"> PAGEREF _Toc19381 \h </w:instrText>
          </w:r>
          <w:r>
            <w:rPr>
              <w:sz w:val="32"/>
              <w:szCs w:val="32"/>
            </w:rPr>
            <w:fldChar w:fldCharType="separate"/>
          </w:r>
          <w:r>
            <w:rPr>
              <w:sz w:val="32"/>
              <w:szCs w:val="32"/>
            </w:rPr>
            <w:t>- 28 -</w:t>
          </w:r>
          <w:r>
            <w:rPr>
              <w:sz w:val="32"/>
              <w:szCs w:val="32"/>
            </w:rPr>
            <w:fldChar w:fldCharType="end"/>
          </w:r>
          <w:r>
            <w:rPr>
              <w:sz w:val="32"/>
              <w:szCs w:val="32"/>
            </w:rPr>
            <w:fldChar w:fldCharType="end"/>
          </w:r>
        </w:p>
        <w:p w14:paraId="45176167">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_Toc13692 </w:instrText>
          </w:r>
          <w:r>
            <w:rPr>
              <w:sz w:val="32"/>
              <w:szCs w:val="32"/>
            </w:rPr>
            <w:fldChar w:fldCharType="separate"/>
          </w:r>
          <w:r>
            <w:rPr>
              <w:rFonts w:hint="eastAsia" w:ascii="黑体" w:hAnsi="黑体" w:eastAsia="黑体" w:cs="黑体"/>
              <w:bCs w:val="0"/>
              <w:spacing w:val="2"/>
              <w:sz w:val="32"/>
              <w:szCs w:val="32"/>
              <w:lang w:val="en-US" w:eastAsia="zh-CN"/>
            </w:rPr>
            <w:t>一、制度机制建设</w:t>
          </w:r>
          <w:r>
            <w:rPr>
              <w:sz w:val="32"/>
              <w:szCs w:val="32"/>
            </w:rPr>
            <w:tab/>
          </w:r>
          <w:r>
            <w:rPr>
              <w:sz w:val="32"/>
              <w:szCs w:val="32"/>
            </w:rPr>
            <w:fldChar w:fldCharType="begin"/>
          </w:r>
          <w:r>
            <w:rPr>
              <w:sz w:val="32"/>
              <w:szCs w:val="32"/>
            </w:rPr>
            <w:instrText xml:space="preserve"> PAGEREF _Toc13692 \h </w:instrText>
          </w:r>
          <w:r>
            <w:rPr>
              <w:sz w:val="32"/>
              <w:szCs w:val="32"/>
            </w:rPr>
            <w:fldChar w:fldCharType="separate"/>
          </w:r>
          <w:r>
            <w:rPr>
              <w:sz w:val="32"/>
              <w:szCs w:val="32"/>
            </w:rPr>
            <w:t>- 28 -</w:t>
          </w:r>
          <w:r>
            <w:rPr>
              <w:sz w:val="32"/>
              <w:szCs w:val="32"/>
            </w:rPr>
            <w:fldChar w:fldCharType="end"/>
          </w:r>
          <w:r>
            <w:rPr>
              <w:sz w:val="32"/>
              <w:szCs w:val="32"/>
            </w:rPr>
            <w:fldChar w:fldCharType="end"/>
          </w:r>
        </w:p>
        <w:p w14:paraId="58891E59">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_Toc1254 </w:instrText>
          </w:r>
          <w:r>
            <w:rPr>
              <w:sz w:val="32"/>
              <w:szCs w:val="32"/>
            </w:rPr>
            <w:fldChar w:fldCharType="separate"/>
          </w:r>
          <w:r>
            <w:rPr>
              <w:rFonts w:hint="eastAsia" w:ascii="楷体_GB2312" w:hAnsi="楷体_GB2312" w:eastAsia="楷体_GB2312" w:cs="楷体_GB2312"/>
              <w:bCs/>
              <w:spacing w:val="8"/>
              <w:sz w:val="32"/>
              <w:szCs w:val="32"/>
              <w:lang w:val="en-US" w:eastAsia="zh-CN"/>
            </w:rPr>
            <w:t>（一）处理收费制度和费用结算机制</w:t>
          </w:r>
          <w:r>
            <w:rPr>
              <w:sz w:val="32"/>
              <w:szCs w:val="32"/>
            </w:rPr>
            <w:tab/>
          </w:r>
          <w:r>
            <w:rPr>
              <w:sz w:val="32"/>
              <w:szCs w:val="32"/>
            </w:rPr>
            <w:fldChar w:fldCharType="begin"/>
          </w:r>
          <w:r>
            <w:rPr>
              <w:sz w:val="32"/>
              <w:szCs w:val="32"/>
            </w:rPr>
            <w:instrText xml:space="preserve"> PAGEREF _Toc1254 \h </w:instrText>
          </w:r>
          <w:r>
            <w:rPr>
              <w:sz w:val="32"/>
              <w:szCs w:val="32"/>
            </w:rPr>
            <w:fldChar w:fldCharType="separate"/>
          </w:r>
          <w:r>
            <w:rPr>
              <w:sz w:val="32"/>
              <w:szCs w:val="32"/>
            </w:rPr>
            <w:t>- 28 -</w:t>
          </w:r>
          <w:r>
            <w:rPr>
              <w:sz w:val="32"/>
              <w:szCs w:val="32"/>
            </w:rPr>
            <w:fldChar w:fldCharType="end"/>
          </w:r>
          <w:r>
            <w:rPr>
              <w:sz w:val="32"/>
              <w:szCs w:val="32"/>
            </w:rPr>
            <w:fldChar w:fldCharType="end"/>
          </w:r>
        </w:p>
        <w:p w14:paraId="01F6B5F1">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_Toc6684 </w:instrText>
          </w:r>
          <w:r>
            <w:rPr>
              <w:sz w:val="32"/>
              <w:szCs w:val="32"/>
            </w:rPr>
            <w:fldChar w:fldCharType="separate"/>
          </w:r>
          <w:r>
            <w:rPr>
              <w:rFonts w:hint="eastAsia" w:ascii="楷体_GB2312" w:hAnsi="楷体_GB2312" w:eastAsia="楷体_GB2312" w:cs="楷体_GB2312"/>
              <w:bCs/>
              <w:spacing w:val="8"/>
              <w:sz w:val="32"/>
              <w:szCs w:val="32"/>
              <w:lang w:val="en-US" w:eastAsia="zh-CN"/>
            </w:rPr>
            <w:t>（二）扶持制度</w:t>
          </w:r>
          <w:r>
            <w:rPr>
              <w:sz w:val="32"/>
              <w:szCs w:val="32"/>
            </w:rPr>
            <w:tab/>
          </w:r>
          <w:r>
            <w:rPr>
              <w:sz w:val="32"/>
              <w:szCs w:val="32"/>
            </w:rPr>
            <w:fldChar w:fldCharType="begin"/>
          </w:r>
          <w:r>
            <w:rPr>
              <w:sz w:val="32"/>
              <w:szCs w:val="32"/>
            </w:rPr>
            <w:instrText xml:space="preserve"> PAGEREF _Toc6684 \h </w:instrText>
          </w:r>
          <w:r>
            <w:rPr>
              <w:sz w:val="32"/>
              <w:szCs w:val="32"/>
            </w:rPr>
            <w:fldChar w:fldCharType="separate"/>
          </w:r>
          <w:r>
            <w:rPr>
              <w:sz w:val="32"/>
              <w:szCs w:val="32"/>
            </w:rPr>
            <w:t>- 28 -</w:t>
          </w:r>
          <w:r>
            <w:rPr>
              <w:sz w:val="32"/>
              <w:szCs w:val="32"/>
            </w:rPr>
            <w:fldChar w:fldCharType="end"/>
          </w:r>
          <w:r>
            <w:rPr>
              <w:sz w:val="32"/>
              <w:szCs w:val="32"/>
            </w:rPr>
            <w:fldChar w:fldCharType="end"/>
          </w:r>
        </w:p>
        <w:p w14:paraId="211C1E0F">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_Toc4877 </w:instrText>
          </w:r>
          <w:r>
            <w:rPr>
              <w:sz w:val="32"/>
              <w:szCs w:val="32"/>
            </w:rPr>
            <w:fldChar w:fldCharType="separate"/>
          </w:r>
          <w:r>
            <w:rPr>
              <w:rFonts w:hint="eastAsia" w:ascii="楷体_GB2312" w:hAnsi="楷体_GB2312" w:eastAsia="楷体_GB2312" w:cs="楷体_GB2312"/>
              <w:bCs/>
              <w:spacing w:val="8"/>
              <w:sz w:val="32"/>
              <w:szCs w:val="32"/>
              <w:lang w:val="en-US" w:eastAsia="zh-CN"/>
            </w:rPr>
            <w:t>（三）源头责任机制</w:t>
          </w:r>
          <w:r>
            <w:rPr>
              <w:sz w:val="32"/>
              <w:szCs w:val="32"/>
            </w:rPr>
            <w:tab/>
          </w:r>
          <w:r>
            <w:rPr>
              <w:sz w:val="32"/>
              <w:szCs w:val="32"/>
            </w:rPr>
            <w:fldChar w:fldCharType="begin"/>
          </w:r>
          <w:r>
            <w:rPr>
              <w:sz w:val="32"/>
              <w:szCs w:val="32"/>
            </w:rPr>
            <w:instrText xml:space="preserve"> PAGEREF _Toc4877 \h </w:instrText>
          </w:r>
          <w:r>
            <w:rPr>
              <w:sz w:val="32"/>
              <w:szCs w:val="32"/>
            </w:rPr>
            <w:fldChar w:fldCharType="separate"/>
          </w:r>
          <w:r>
            <w:rPr>
              <w:sz w:val="32"/>
              <w:szCs w:val="32"/>
            </w:rPr>
            <w:t>- 28 -</w:t>
          </w:r>
          <w:r>
            <w:rPr>
              <w:sz w:val="32"/>
              <w:szCs w:val="32"/>
            </w:rPr>
            <w:fldChar w:fldCharType="end"/>
          </w:r>
          <w:r>
            <w:rPr>
              <w:sz w:val="32"/>
              <w:szCs w:val="32"/>
            </w:rPr>
            <w:fldChar w:fldCharType="end"/>
          </w:r>
        </w:p>
        <w:p w14:paraId="39D42BBD">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_Toc30124 </w:instrText>
          </w:r>
          <w:r>
            <w:rPr>
              <w:sz w:val="32"/>
              <w:szCs w:val="32"/>
            </w:rPr>
            <w:fldChar w:fldCharType="separate"/>
          </w:r>
          <w:r>
            <w:rPr>
              <w:rFonts w:hint="eastAsia" w:ascii="楷体_GB2312" w:hAnsi="楷体_GB2312" w:eastAsia="楷体_GB2312" w:cs="楷体_GB2312"/>
              <w:bCs/>
              <w:spacing w:val="8"/>
              <w:sz w:val="32"/>
              <w:szCs w:val="32"/>
              <w:lang w:val="en-US" w:eastAsia="zh-CN"/>
            </w:rPr>
            <w:t>（四）运输监督机制</w:t>
          </w:r>
          <w:r>
            <w:rPr>
              <w:sz w:val="32"/>
              <w:szCs w:val="32"/>
            </w:rPr>
            <w:tab/>
          </w:r>
          <w:r>
            <w:rPr>
              <w:sz w:val="32"/>
              <w:szCs w:val="32"/>
            </w:rPr>
            <w:fldChar w:fldCharType="begin"/>
          </w:r>
          <w:r>
            <w:rPr>
              <w:sz w:val="32"/>
              <w:szCs w:val="32"/>
            </w:rPr>
            <w:instrText xml:space="preserve"> PAGEREF _Toc30124 \h </w:instrText>
          </w:r>
          <w:r>
            <w:rPr>
              <w:sz w:val="32"/>
              <w:szCs w:val="32"/>
            </w:rPr>
            <w:fldChar w:fldCharType="separate"/>
          </w:r>
          <w:r>
            <w:rPr>
              <w:sz w:val="32"/>
              <w:szCs w:val="32"/>
            </w:rPr>
            <w:t>- 28 -</w:t>
          </w:r>
          <w:r>
            <w:rPr>
              <w:sz w:val="32"/>
              <w:szCs w:val="32"/>
            </w:rPr>
            <w:fldChar w:fldCharType="end"/>
          </w:r>
          <w:r>
            <w:rPr>
              <w:sz w:val="32"/>
              <w:szCs w:val="32"/>
            </w:rPr>
            <w:fldChar w:fldCharType="end"/>
          </w:r>
        </w:p>
        <w:p w14:paraId="610E55B5">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_Toc16356 </w:instrText>
          </w:r>
          <w:r>
            <w:rPr>
              <w:sz w:val="32"/>
              <w:szCs w:val="32"/>
            </w:rPr>
            <w:fldChar w:fldCharType="separate"/>
          </w:r>
          <w:r>
            <w:rPr>
              <w:rFonts w:hint="eastAsia" w:ascii="楷体_GB2312" w:hAnsi="楷体_GB2312" w:eastAsia="楷体_GB2312" w:cs="楷体_GB2312"/>
              <w:bCs/>
              <w:spacing w:val="8"/>
              <w:sz w:val="32"/>
              <w:szCs w:val="32"/>
              <w:lang w:val="en-US" w:eastAsia="zh-CN"/>
            </w:rPr>
            <w:t>（五）联合执法制度</w:t>
          </w:r>
          <w:r>
            <w:rPr>
              <w:sz w:val="32"/>
              <w:szCs w:val="32"/>
            </w:rPr>
            <w:tab/>
          </w:r>
          <w:r>
            <w:rPr>
              <w:sz w:val="32"/>
              <w:szCs w:val="32"/>
            </w:rPr>
            <w:fldChar w:fldCharType="begin"/>
          </w:r>
          <w:r>
            <w:rPr>
              <w:sz w:val="32"/>
              <w:szCs w:val="32"/>
            </w:rPr>
            <w:instrText xml:space="preserve"> PAGEREF _Toc16356 \h </w:instrText>
          </w:r>
          <w:r>
            <w:rPr>
              <w:sz w:val="32"/>
              <w:szCs w:val="32"/>
            </w:rPr>
            <w:fldChar w:fldCharType="separate"/>
          </w:r>
          <w:r>
            <w:rPr>
              <w:sz w:val="32"/>
              <w:szCs w:val="32"/>
            </w:rPr>
            <w:t>- 28 -</w:t>
          </w:r>
          <w:r>
            <w:rPr>
              <w:sz w:val="32"/>
              <w:szCs w:val="32"/>
            </w:rPr>
            <w:fldChar w:fldCharType="end"/>
          </w:r>
          <w:r>
            <w:rPr>
              <w:sz w:val="32"/>
              <w:szCs w:val="32"/>
            </w:rPr>
            <w:fldChar w:fldCharType="end"/>
          </w:r>
        </w:p>
        <w:p w14:paraId="2916E9D9">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_Toc15279 </w:instrText>
          </w:r>
          <w:r>
            <w:rPr>
              <w:sz w:val="32"/>
              <w:szCs w:val="32"/>
            </w:rPr>
            <w:fldChar w:fldCharType="separate"/>
          </w:r>
          <w:r>
            <w:rPr>
              <w:rFonts w:hint="eastAsia" w:ascii="楷体_GB2312" w:hAnsi="楷体_GB2312" w:eastAsia="楷体_GB2312" w:cs="楷体_GB2312"/>
              <w:bCs/>
              <w:spacing w:val="8"/>
              <w:sz w:val="32"/>
              <w:szCs w:val="32"/>
              <w:lang w:val="en-US" w:eastAsia="zh-CN"/>
            </w:rPr>
            <w:t>（六）生态补偿机制</w:t>
          </w:r>
          <w:r>
            <w:rPr>
              <w:sz w:val="32"/>
              <w:szCs w:val="32"/>
            </w:rPr>
            <w:tab/>
          </w:r>
          <w:r>
            <w:rPr>
              <w:sz w:val="32"/>
              <w:szCs w:val="32"/>
            </w:rPr>
            <w:fldChar w:fldCharType="begin"/>
          </w:r>
          <w:r>
            <w:rPr>
              <w:sz w:val="32"/>
              <w:szCs w:val="32"/>
            </w:rPr>
            <w:instrText xml:space="preserve"> PAGEREF _Toc15279 \h </w:instrText>
          </w:r>
          <w:r>
            <w:rPr>
              <w:sz w:val="32"/>
              <w:szCs w:val="32"/>
            </w:rPr>
            <w:fldChar w:fldCharType="separate"/>
          </w:r>
          <w:r>
            <w:rPr>
              <w:sz w:val="32"/>
              <w:szCs w:val="32"/>
            </w:rPr>
            <w:t>- 28 -</w:t>
          </w:r>
          <w:r>
            <w:rPr>
              <w:sz w:val="32"/>
              <w:szCs w:val="32"/>
            </w:rPr>
            <w:fldChar w:fldCharType="end"/>
          </w:r>
          <w:r>
            <w:rPr>
              <w:sz w:val="32"/>
              <w:szCs w:val="32"/>
            </w:rPr>
            <w:fldChar w:fldCharType="end"/>
          </w:r>
        </w:p>
        <w:p w14:paraId="14AAA41C">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_Toc26344 </w:instrText>
          </w:r>
          <w:r>
            <w:rPr>
              <w:sz w:val="32"/>
              <w:szCs w:val="32"/>
            </w:rPr>
            <w:fldChar w:fldCharType="separate"/>
          </w:r>
          <w:r>
            <w:rPr>
              <w:rFonts w:hint="eastAsia" w:ascii="楷体_GB2312" w:hAnsi="楷体_GB2312" w:eastAsia="楷体_GB2312" w:cs="楷体_GB2312"/>
              <w:bCs/>
              <w:spacing w:val="8"/>
              <w:sz w:val="32"/>
              <w:szCs w:val="32"/>
              <w:lang w:val="en-US" w:eastAsia="zh-CN"/>
            </w:rPr>
            <w:t>（七）许可备案机制</w:t>
          </w:r>
          <w:r>
            <w:rPr>
              <w:sz w:val="32"/>
              <w:szCs w:val="32"/>
            </w:rPr>
            <w:tab/>
          </w:r>
          <w:r>
            <w:rPr>
              <w:sz w:val="32"/>
              <w:szCs w:val="32"/>
            </w:rPr>
            <w:fldChar w:fldCharType="begin"/>
          </w:r>
          <w:r>
            <w:rPr>
              <w:sz w:val="32"/>
              <w:szCs w:val="32"/>
            </w:rPr>
            <w:instrText xml:space="preserve"> PAGEREF _Toc26344 \h </w:instrText>
          </w:r>
          <w:r>
            <w:rPr>
              <w:sz w:val="32"/>
              <w:szCs w:val="32"/>
            </w:rPr>
            <w:fldChar w:fldCharType="separate"/>
          </w:r>
          <w:r>
            <w:rPr>
              <w:sz w:val="32"/>
              <w:szCs w:val="32"/>
            </w:rPr>
            <w:t>- 28 -</w:t>
          </w:r>
          <w:r>
            <w:rPr>
              <w:sz w:val="32"/>
              <w:szCs w:val="32"/>
            </w:rPr>
            <w:fldChar w:fldCharType="end"/>
          </w:r>
          <w:r>
            <w:rPr>
              <w:sz w:val="32"/>
              <w:szCs w:val="32"/>
            </w:rPr>
            <w:fldChar w:fldCharType="end"/>
          </w:r>
        </w:p>
        <w:p w14:paraId="632C2FA7">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_Toc16293 </w:instrText>
          </w:r>
          <w:r>
            <w:rPr>
              <w:sz w:val="32"/>
              <w:szCs w:val="32"/>
            </w:rPr>
            <w:fldChar w:fldCharType="separate"/>
          </w:r>
          <w:r>
            <w:rPr>
              <w:rFonts w:hint="eastAsia" w:ascii="楷体_GB2312" w:hAnsi="楷体_GB2312" w:eastAsia="楷体_GB2312" w:cs="楷体_GB2312"/>
              <w:bCs/>
              <w:spacing w:val="8"/>
              <w:sz w:val="32"/>
              <w:szCs w:val="32"/>
              <w:lang w:val="en-US" w:eastAsia="zh-CN"/>
            </w:rPr>
            <w:t>（八）清运备案卡制度</w:t>
          </w:r>
          <w:r>
            <w:rPr>
              <w:sz w:val="32"/>
              <w:szCs w:val="32"/>
            </w:rPr>
            <w:tab/>
          </w:r>
          <w:r>
            <w:rPr>
              <w:sz w:val="32"/>
              <w:szCs w:val="32"/>
            </w:rPr>
            <w:fldChar w:fldCharType="begin"/>
          </w:r>
          <w:r>
            <w:rPr>
              <w:sz w:val="32"/>
              <w:szCs w:val="32"/>
            </w:rPr>
            <w:instrText xml:space="preserve"> PAGEREF _Toc16293 \h </w:instrText>
          </w:r>
          <w:r>
            <w:rPr>
              <w:sz w:val="32"/>
              <w:szCs w:val="32"/>
            </w:rPr>
            <w:fldChar w:fldCharType="separate"/>
          </w:r>
          <w:r>
            <w:rPr>
              <w:sz w:val="32"/>
              <w:szCs w:val="32"/>
            </w:rPr>
            <w:t>- 28 -</w:t>
          </w:r>
          <w:r>
            <w:rPr>
              <w:sz w:val="32"/>
              <w:szCs w:val="32"/>
            </w:rPr>
            <w:fldChar w:fldCharType="end"/>
          </w:r>
          <w:r>
            <w:rPr>
              <w:sz w:val="32"/>
              <w:szCs w:val="32"/>
            </w:rPr>
            <w:fldChar w:fldCharType="end"/>
          </w:r>
        </w:p>
        <w:p w14:paraId="60BD206F">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_Toc17314 </w:instrText>
          </w:r>
          <w:r>
            <w:rPr>
              <w:sz w:val="32"/>
              <w:szCs w:val="32"/>
            </w:rPr>
            <w:fldChar w:fldCharType="separate"/>
          </w:r>
          <w:r>
            <w:rPr>
              <w:rFonts w:hint="eastAsia" w:ascii="楷体_GB2312" w:hAnsi="楷体_GB2312" w:eastAsia="楷体_GB2312" w:cs="楷体_GB2312"/>
              <w:bCs/>
              <w:spacing w:val="8"/>
              <w:sz w:val="32"/>
              <w:szCs w:val="32"/>
              <w:lang w:val="en-US" w:eastAsia="zh-CN"/>
            </w:rPr>
            <w:t>（九）执法检查制度</w:t>
          </w:r>
          <w:r>
            <w:rPr>
              <w:sz w:val="32"/>
              <w:szCs w:val="32"/>
            </w:rPr>
            <w:tab/>
          </w:r>
          <w:r>
            <w:rPr>
              <w:sz w:val="32"/>
              <w:szCs w:val="32"/>
            </w:rPr>
            <w:fldChar w:fldCharType="begin"/>
          </w:r>
          <w:r>
            <w:rPr>
              <w:sz w:val="32"/>
              <w:szCs w:val="32"/>
            </w:rPr>
            <w:instrText xml:space="preserve"> PAGEREF _Toc17314 \h </w:instrText>
          </w:r>
          <w:r>
            <w:rPr>
              <w:sz w:val="32"/>
              <w:szCs w:val="32"/>
            </w:rPr>
            <w:fldChar w:fldCharType="separate"/>
          </w:r>
          <w:r>
            <w:rPr>
              <w:sz w:val="32"/>
              <w:szCs w:val="32"/>
            </w:rPr>
            <w:t>- 28 -</w:t>
          </w:r>
          <w:r>
            <w:rPr>
              <w:sz w:val="32"/>
              <w:szCs w:val="32"/>
            </w:rPr>
            <w:fldChar w:fldCharType="end"/>
          </w:r>
          <w:r>
            <w:rPr>
              <w:sz w:val="32"/>
              <w:szCs w:val="32"/>
            </w:rPr>
            <w:fldChar w:fldCharType="end"/>
          </w:r>
        </w:p>
        <w:p w14:paraId="27C305EF">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_Toc29882 </w:instrText>
          </w:r>
          <w:r>
            <w:rPr>
              <w:sz w:val="32"/>
              <w:szCs w:val="32"/>
            </w:rPr>
            <w:fldChar w:fldCharType="separate"/>
          </w:r>
          <w:r>
            <w:rPr>
              <w:rFonts w:hint="eastAsia" w:ascii="楷体_GB2312" w:hAnsi="楷体_GB2312" w:eastAsia="楷体_GB2312" w:cs="楷体_GB2312"/>
              <w:bCs/>
              <w:spacing w:val="8"/>
              <w:sz w:val="32"/>
              <w:szCs w:val="32"/>
              <w:lang w:val="en-US" w:eastAsia="zh-CN"/>
            </w:rPr>
            <w:t>（十）投诉举报制度</w:t>
          </w:r>
          <w:r>
            <w:rPr>
              <w:sz w:val="32"/>
              <w:szCs w:val="32"/>
            </w:rPr>
            <w:tab/>
          </w:r>
          <w:r>
            <w:rPr>
              <w:sz w:val="32"/>
              <w:szCs w:val="32"/>
            </w:rPr>
            <w:fldChar w:fldCharType="begin"/>
          </w:r>
          <w:r>
            <w:rPr>
              <w:sz w:val="32"/>
              <w:szCs w:val="32"/>
            </w:rPr>
            <w:instrText xml:space="preserve"> PAGEREF _Toc29882 \h </w:instrText>
          </w:r>
          <w:r>
            <w:rPr>
              <w:sz w:val="32"/>
              <w:szCs w:val="32"/>
            </w:rPr>
            <w:fldChar w:fldCharType="separate"/>
          </w:r>
          <w:r>
            <w:rPr>
              <w:sz w:val="32"/>
              <w:szCs w:val="32"/>
            </w:rPr>
            <w:t>- 29 -</w:t>
          </w:r>
          <w:r>
            <w:rPr>
              <w:sz w:val="32"/>
              <w:szCs w:val="32"/>
            </w:rPr>
            <w:fldChar w:fldCharType="end"/>
          </w:r>
          <w:r>
            <w:rPr>
              <w:sz w:val="32"/>
              <w:szCs w:val="32"/>
            </w:rPr>
            <w:fldChar w:fldCharType="end"/>
          </w:r>
        </w:p>
        <w:p w14:paraId="6AB9FCFE">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_Toc13114 </w:instrText>
          </w:r>
          <w:r>
            <w:rPr>
              <w:sz w:val="32"/>
              <w:szCs w:val="32"/>
            </w:rPr>
            <w:fldChar w:fldCharType="separate"/>
          </w:r>
          <w:r>
            <w:rPr>
              <w:rFonts w:hint="eastAsia" w:ascii="黑体" w:hAnsi="黑体" w:eastAsia="黑体" w:cs="黑体"/>
              <w:bCs w:val="0"/>
              <w:spacing w:val="2"/>
              <w:sz w:val="32"/>
              <w:szCs w:val="32"/>
              <w:lang w:val="en-US" w:eastAsia="zh-CN"/>
            </w:rPr>
            <w:t>二、部门职责分工</w:t>
          </w:r>
          <w:r>
            <w:rPr>
              <w:sz w:val="32"/>
              <w:szCs w:val="32"/>
            </w:rPr>
            <w:tab/>
          </w:r>
          <w:r>
            <w:rPr>
              <w:sz w:val="32"/>
              <w:szCs w:val="32"/>
            </w:rPr>
            <w:fldChar w:fldCharType="begin"/>
          </w:r>
          <w:r>
            <w:rPr>
              <w:sz w:val="32"/>
              <w:szCs w:val="32"/>
            </w:rPr>
            <w:instrText xml:space="preserve"> PAGEREF _Toc13114 \h </w:instrText>
          </w:r>
          <w:r>
            <w:rPr>
              <w:sz w:val="32"/>
              <w:szCs w:val="32"/>
            </w:rPr>
            <w:fldChar w:fldCharType="separate"/>
          </w:r>
          <w:r>
            <w:rPr>
              <w:sz w:val="32"/>
              <w:szCs w:val="32"/>
            </w:rPr>
            <w:t>- 29 -</w:t>
          </w:r>
          <w:r>
            <w:rPr>
              <w:sz w:val="32"/>
              <w:szCs w:val="32"/>
            </w:rPr>
            <w:fldChar w:fldCharType="end"/>
          </w:r>
          <w:r>
            <w:rPr>
              <w:sz w:val="32"/>
              <w:szCs w:val="32"/>
            </w:rPr>
            <w:fldChar w:fldCharType="end"/>
          </w:r>
        </w:p>
        <w:p w14:paraId="57B5550C">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_Toc10131 </w:instrText>
          </w:r>
          <w:r>
            <w:rPr>
              <w:sz w:val="32"/>
              <w:szCs w:val="32"/>
            </w:rPr>
            <w:fldChar w:fldCharType="separate"/>
          </w:r>
          <w:r>
            <w:rPr>
              <w:rFonts w:hint="eastAsia" w:ascii="楷体_GB2312" w:hAnsi="楷体_GB2312" w:eastAsia="楷体_GB2312" w:cs="楷体_GB2312"/>
              <w:bCs/>
              <w:spacing w:val="8"/>
              <w:sz w:val="32"/>
              <w:szCs w:val="32"/>
              <w:lang w:val="en-US" w:eastAsia="zh-CN"/>
            </w:rPr>
            <w:t>（一）发展改革部门</w:t>
          </w:r>
          <w:r>
            <w:rPr>
              <w:sz w:val="32"/>
              <w:szCs w:val="32"/>
            </w:rPr>
            <w:tab/>
          </w:r>
          <w:r>
            <w:rPr>
              <w:sz w:val="32"/>
              <w:szCs w:val="32"/>
            </w:rPr>
            <w:fldChar w:fldCharType="begin"/>
          </w:r>
          <w:r>
            <w:rPr>
              <w:sz w:val="32"/>
              <w:szCs w:val="32"/>
            </w:rPr>
            <w:instrText xml:space="preserve"> PAGEREF _Toc10131 \h </w:instrText>
          </w:r>
          <w:r>
            <w:rPr>
              <w:sz w:val="32"/>
              <w:szCs w:val="32"/>
            </w:rPr>
            <w:fldChar w:fldCharType="separate"/>
          </w:r>
          <w:r>
            <w:rPr>
              <w:sz w:val="32"/>
              <w:szCs w:val="32"/>
            </w:rPr>
            <w:t>- 29 -</w:t>
          </w:r>
          <w:r>
            <w:rPr>
              <w:sz w:val="32"/>
              <w:szCs w:val="32"/>
            </w:rPr>
            <w:fldChar w:fldCharType="end"/>
          </w:r>
          <w:r>
            <w:rPr>
              <w:sz w:val="32"/>
              <w:szCs w:val="32"/>
            </w:rPr>
            <w:fldChar w:fldCharType="end"/>
          </w:r>
        </w:p>
        <w:p w14:paraId="4FF67D8B">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_Toc2923 </w:instrText>
          </w:r>
          <w:r>
            <w:rPr>
              <w:sz w:val="32"/>
              <w:szCs w:val="32"/>
            </w:rPr>
            <w:fldChar w:fldCharType="separate"/>
          </w:r>
          <w:r>
            <w:rPr>
              <w:rFonts w:hint="eastAsia" w:ascii="楷体_GB2312" w:hAnsi="楷体_GB2312" w:eastAsia="楷体_GB2312" w:cs="楷体_GB2312"/>
              <w:bCs/>
              <w:spacing w:val="8"/>
              <w:sz w:val="32"/>
              <w:szCs w:val="32"/>
              <w:lang w:val="en-US" w:eastAsia="zh-CN"/>
            </w:rPr>
            <w:t>（二）自然资源部门</w:t>
          </w:r>
          <w:r>
            <w:rPr>
              <w:sz w:val="32"/>
              <w:szCs w:val="32"/>
            </w:rPr>
            <w:tab/>
          </w:r>
          <w:r>
            <w:rPr>
              <w:sz w:val="32"/>
              <w:szCs w:val="32"/>
            </w:rPr>
            <w:fldChar w:fldCharType="begin"/>
          </w:r>
          <w:r>
            <w:rPr>
              <w:sz w:val="32"/>
              <w:szCs w:val="32"/>
            </w:rPr>
            <w:instrText xml:space="preserve"> PAGEREF _Toc2923 \h </w:instrText>
          </w:r>
          <w:r>
            <w:rPr>
              <w:sz w:val="32"/>
              <w:szCs w:val="32"/>
            </w:rPr>
            <w:fldChar w:fldCharType="separate"/>
          </w:r>
          <w:r>
            <w:rPr>
              <w:sz w:val="32"/>
              <w:szCs w:val="32"/>
            </w:rPr>
            <w:t>- 29 -</w:t>
          </w:r>
          <w:r>
            <w:rPr>
              <w:sz w:val="32"/>
              <w:szCs w:val="32"/>
            </w:rPr>
            <w:fldChar w:fldCharType="end"/>
          </w:r>
          <w:r>
            <w:rPr>
              <w:sz w:val="32"/>
              <w:szCs w:val="32"/>
            </w:rPr>
            <w:fldChar w:fldCharType="end"/>
          </w:r>
        </w:p>
        <w:p w14:paraId="5F7F9B82">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_Toc27623 </w:instrText>
          </w:r>
          <w:r>
            <w:rPr>
              <w:sz w:val="32"/>
              <w:szCs w:val="32"/>
            </w:rPr>
            <w:fldChar w:fldCharType="separate"/>
          </w:r>
          <w:r>
            <w:rPr>
              <w:rFonts w:hint="eastAsia" w:ascii="楷体_GB2312" w:hAnsi="楷体_GB2312" w:eastAsia="楷体_GB2312" w:cs="楷体_GB2312"/>
              <w:bCs/>
              <w:spacing w:val="8"/>
              <w:sz w:val="32"/>
              <w:szCs w:val="32"/>
              <w:lang w:val="en-US" w:eastAsia="zh-CN"/>
            </w:rPr>
            <w:t>（三）生态环境部门</w:t>
          </w:r>
          <w:r>
            <w:rPr>
              <w:sz w:val="32"/>
              <w:szCs w:val="32"/>
            </w:rPr>
            <w:tab/>
          </w:r>
          <w:r>
            <w:rPr>
              <w:sz w:val="32"/>
              <w:szCs w:val="32"/>
            </w:rPr>
            <w:fldChar w:fldCharType="begin"/>
          </w:r>
          <w:r>
            <w:rPr>
              <w:sz w:val="32"/>
              <w:szCs w:val="32"/>
            </w:rPr>
            <w:instrText xml:space="preserve"> PAGEREF _Toc27623 \h </w:instrText>
          </w:r>
          <w:r>
            <w:rPr>
              <w:sz w:val="32"/>
              <w:szCs w:val="32"/>
            </w:rPr>
            <w:fldChar w:fldCharType="separate"/>
          </w:r>
          <w:r>
            <w:rPr>
              <w:sz w:val="32"/>
              <w:szCs w:val="32"/>
            </w:rPr>
            <w:t>- 29 -</w:t>
          </w:r>
          <w:r>
            <w:rPr>
              <w:sz w:val="32"/>
              <w:szCs w:val="32"/>
            </w:rPr>
            <w:fldChar w:fldCharType="end"/>
          </w:r>
          <w:r>
            <w:rPr>
              <w:sz w:val="32"/>
              <w:szCs w:val="32"/>
            </w:rPr>
            <w:fldChar w:fldCharType="end"/>
          </w:r>
        </w:p>
        <w:p w14:paraId="31D8AAEE">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_Toc31320 </w:instrText>
          </w:r>
          <w:r>
            <w:rPr>
              <w:sz w:val="32"/>
              <w:szCs w:val="32"/>
            </w:rPr>
            <w:fldChar w:fldCharType="separate"/>
          </w:r>
          <w:r>
            <w:rPr>
              <w:rFonts w:hint="eastAsia" w:ascii="楷体_GB2312" w:hAnsi="楷体_GB2312" w:eastAsia="楷体_GB2312" w:cs="楷体_GB2312"/>
              <w:bCs/>
              <w:spacing w:val="8"/>
              <w:sz w:val="32"/>
              <w:szCs w:val="32"/>
              <w:lang w:val="en-US" w:eastAsia="zh-CN"/>
            </w:rPr>
            <w:t>（四）住建部门</w:t>
          </w:r>
          <w:r>
            <w:rPr>
              <w:sz w:val="32"/>
              <w:szCs w:val="32"/>
            </w:rPr>
            <w:tab/>
          </w:r>
          <w:r>
            <w:rPr>
              <w:sz w:val="32"/>
              <w:szCs w:val="32"/>
            </w:rPr>
            <w:fldChar w:fldCharType="begin"/>
          </w:r>
          <w:r>
            <w:rPr>
              <w:sz w:val="32"/>
              <w:szCs w:val="32"/>
            </w:rPr>
            <w:instrText xml:space="preserve"> PAGEREF _Toc31320 \h </w:instrText>
          </w:r>
          <w:r>
            <w:rPr>
              <w:sz w:val="32"/>
              <w:szCs w:val="32"/>
            </w:rPr>
            <w:fldChar w:fldCharType="separate"/>
          </w:r>
          <w:r>
            <w:rPr>
              <w:sz w:val="32"/>
              <w:szCs w:val="32"/>
            </w:rPr>
            <w:t>- 29 -</w:t>
          </w:r>
          <w:r>
            <w:rPr>
              <w:sz w:val="32"/>
              <w:szCs w:val="32"/>
            </w:rPr>
            <w:fldChar w:fldCharType="end"/>
          </w:r>
          <w:r>
            <w:rPr>
              <w:sz w:val="32"/>
              <w:szCs w:val="32"/>
            </w:rPr>
            <w:fldChar w:fldCharType="end"/>
          </w:r>
        </w:p>
        <w:p w14:paraId="0433A502">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_Toc905 </w:instrText>
          </w:r>
          <w:r>
            <w:rPr>
              <w:sz w:val="32"/>
              <w:szCs w:val="32"/>
            </w:rPr>
            <w:fldChar w:fldCharType="separate"/>
          </w:r>
          <w:r>
            <w:rPr>
              <w:rFonts w:hint="eastAsia" w:ascii="楷体_GB2312" w:hAnsi="楷体_GB2312" w:eastAsia="楷体_GB2312" w:cs="楷体_GB2312"/>
              <w:bCs/>
              <w:spacing w:val="8"/>
              <w:sz w:val="32"/>
              <w:szCs w:val="32"/>
              <w:lang w:val="en-US" w:eastAsia="zh-CN"/>
            </w:rPr>
            <w:t>（五）城市管理部门</w:t>
          </w:r>
          <w:r>
            <w:rPr>
              <w:sz w:val="32"/>
              <w:szCs w:val="32"/>
            </w:rPr>
            <w:tab/>
          </w:r>
          <w:r>
            <w:rPr>
              <w:sz w:val="32"/>
              <w:szCs w:val="32"/>
            </w:rPr>
            <w:fldChar w:fldCharType="begin"/>
          </w:r>
          <w:r>
            <w:rPr>
              <w:sz w:val="32"/>
              <w:szCs w:val="32"/>
            </w:rPr>
            <w:instrText xml:space="preserve"> PAGEREF _Toc905 \h </w:instrText>
          </w:r>
          <w:r>
            <w:rPr>
              <w:sz w:val="32"/>
              <w:szCs w:val="32"/>
            </w:rPr>
            <w:fldChar w:fldCharType="separate"/>
          </w:r>
          <w:r>
            <w:rPr>
              <w:sz w:val="32"/>
              <w:szCs w:val="32"/>
            </w:rPr>
            <w:t>- 29 -</w:t>
          </w:r>
          <w:r>
            <w:rPr>
              <w:sz w:val="32"/>
              <w:szCs w:val="32"/>
            </w:rPr>
            <w:fldChar w:fldCharType="end"/>
          </w:r>
          <w:r>
            <w:rPr>
              <w:sz w:val="32"/>
              <w:szCs w:val="32"/>
            </w:rPr>
            <w:fldChar w:fldCharType="end"/>
          </w:r>
        </w:p>
        <w:p w14:paraId="40933403">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_Toc15829 </w:instrText>
          </w:r>
          <w:r>
            <w:rPr>
              <w:sz w:val="32"/>
              <w:szCs w:val="32"/>
            </w:rPr>
            <w:fldChar w:fldCharType="separate"/>
          </w:r>
          <w:r>
            <w:rPr>
              <w:rFonts w:hint="eastAsia" w:ascii="楷体_GB2312" w:hAnsi="楷体_GB2312" w:eastAsia="楷体_GB2312" w:cs="楷体_GB2312"/>
              <w:bCs/>
              <w:spacing w:val="8"/>
              <w:sz w:val="32"/>
              <w:szCs w:val="32"/>
              <w:lang w:val="en-US" w:eastAsia="zh-CN"/>
            </w:rPr>
            <w:t>（六）交通运输部门</w:t>
          </w:r>
          <w:r>
            <w:rPr>
              <w:sz w:val="32"/>
              <w:szCs w:val="32"/>
            </w:rPr>
            <w:tab/>
          </w:r>
          <w:r>
            <w:rPr>
              <w:sz w:val="32"/>
              <w:szCs w:val="32"/>
            </w:rPr>
            <w:fldChar w:fldCharType="begin"/>
          </w:r>
          <w:r>
            <w:rPr>
              <w:sz w:val="32"/>
              <w:szCs w:val="32"/>
            </w:rPr>
            <w:instrText xml:space="preserve"> PAGEREF _Toc15829 \h </w:instrText>
          </w:r>
          <w:r>
            <w:rPr>
              <w:sz w:val="32"/>
              <w:szCs w:val="32"/>
            </w:rPr>
            <w:fldChar w:fldCharType="separate"/>
          </w:r>
          <w:r>
            <w:rPr>
              <w:sz w:val="32"/>
              <w:szCs w:val="32"/>
            </w:rPr>
            <w:t>- 30 -</w:t>
          </w:r>
          <w:r>
            <w:rPr>
              <w:sz w:val="32"/>
              <w:szCs w:val="32"/>
            </w:rPr>
            <w:fldChar w:fldCharType="end"/>
          </w:r>
          <w:r>
            <w:rPr>
              <w:sz w:val="32"/>
              <w:szCs w:val="32"/>
            </w:rPr>
            <w:fldChar w:fldCharType="end"/>
          </w:r>
        </w:p>
        <w:p w14:paraId="323897F5">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_Toc29449 </w:instrText>
          </w:r>
          <w:r>
            <w:rPr>
              <w:sz w:val="32"/>
              <w:szCs w:val="32"/>
            </w:rPr>
            <w:fldChar w:fldCharType="separate"/>
          </w:r>
          <w:r>
            <w:rPr>
              <w:rFonts w:hint="eastAsia" w:ascii="楷体_GB2312" w:hAnsi="楷体_GB2312" w:eastAsia="楷体_GB2312" w:cs="楷体_GB2312"/>
              <w:bCs/>
              <w:spacing w:val="8"/>
              <w:sz w:val="32"/>
              <w:szCs w:val="32"/>
              <w:lang w:val="en-US" w:eastAsia="zh-CN"/>
            </w:rPr>
            <w:t>（七）公安部门</w:t>
          </w:r>
          <w:r>
            <w:rPr>
              <w:sz w:val="32"/>
              <w:szCs w:val="32"/>
            </w:rPr>
            <w:tab/>
          </w:r>
          <w:r>
            <w:rPr>
              <w:sz w:val="32"/>
              <w:szCs w:val="32"/>
            </w:rPr>
            <w:fldChar w:fldCharType="begin"/>
          </w:r>
          <w:r>
            <w:rPr>
              <w:sz w:val="32"/>
              <w:szCs w:val="32"/>
            </w:rPr>
            <w:instrText xml:space="preserve"> PAGEREF _Toc29449 \h </w:instrText>
          </w:r>
          <w:r>
            <w:rPr>
              <w:sz w:val="32"/>
              <w:szCs w:val="32"/>
            </w:rPr>
            <w:fldChar w:fldCharType="separate"/>
          </w:r>
          <w:r>
            <w:rPr>
              <w:sz w:val="32"/>
              <w:szCs w:val="32"/>
            </w:rPr>
            <w:t>- 30 -</w:t>
          </w:r>
          <w:r>
            <w:rPr>
              <w:sz w:val="32"/>
              <w:szCs w:val="32"/>
            </w:rPr>
            <w:fldChar w:fldCharType="end"/>
          </w:r>
          <w:r>
            <w:rPr>
              <w:sz w:val="32"/>
              <w:szCs w:val="32"/>
            </w:rPr>
            <w:fldChar w:fldCharType="end"/>
          </w:r>
        </w:p>
        <w:p w14:paraId="167E7E06">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_Toc13848 </w:instrText>
          </w:r>
          <w:r>
            <w:rPr>
              <w:sz w:val="32"/>
              <w:szCs w:val="32"/>
            </w:rPr>
            <w:fldChar w:fldCharType="separate"/>
          </w:r>
          <w:r>
            <w:rPr>
              <w:rFonts w:hint="eastAsia" w:ascii="黑体" w:hAnsi="黑体" w:eastAsia="黑体" w:cs="黑体"/>
              <w:bCs w:val="0"/>
              <w:spacing w:val="2"/>
              <w:sz w:val="32"/>
              <w:szCs w:val="32"/>
              <w:lang w:val="en-US" w:eastAsia="zh-CN"/>
            </w:rPr>
            <w:t>三、数字化管理</w:t>
          </w:r>
          <w:r>
            <w:rPr>
              <w:sz w:val="32"/>
              <w:szCs w:val="32"/>
            </w:rPr>
            <w:tab/>
          </w:r>
          <w:r>
            <w:rPr>
              <w:sz w:val="32"/>
              <w:szCs w:val="32"/>
            </w:rPr>
            <w:fldChar w:fldCharType="begin"/>
          </w:r>
          <w:r>
            <w:rPr>
              <w:sz w:val="32"/>
              <w:szCs w:val="32"/>
            </w:rPr>
            <w:instrText xml:space="preserve"> PAGEREF _Toc13848 \h </w:instrText>
          </w:r>
          <w:r>
            <w:rPr>
              <w:sz w:val="32"/>
              <w:szCs w:val="32"/>
            </w:rPr>
            <w:fldChar w:fldCharType="separate"/>
          </w:r>
          <w:r>
            <w:rPr>
              <w:sz w:val="32"/>
              <w:szCs w:val="32"/>
            </w:rPr>
            <w:t>- 30 -</w:t>
          </w:r>
          <w:r>
            <w:rPr>
              <w:sz w:val="32"/>
              <w:szCs w:val="32"/>
            </w:rPr>
            <w:fldChar w:fldCharType="end"/>
          </w:r>
          <w:r>
            <w:rPr>
              <w:sz w:val="32"/>
              <w:szCs w:val="32"/>
            </w:rPr>
            <w:fldChar w:fldCharType="end"/>
          </w:r>
        </w:p>
        <w:p w14:paraId="1051739F">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_Toc22552 </w:instrText>
          </w:r>
          <w:r>
            <w:rPr>
              <w:sz w:val="32"/>
              <w:szCs w:val="32"/>
            </w:rPr>
            <w:fldChar w:fldCharType="separate"/>
          </w:r>
          <w:r>
            <w:rPr>
              <w:rFonts w:hint="eastAsia" w:ascii="楷体_GB2312" w:hAnsi="楷体_GB2312" w:eastAsia="楷体_GB2312" w:cs="楷体_GB2312"/>
              <w:bCs/>
              <w:spacing w:val="8"/>
              <w:sz w:val="32"/>
              <w:szCs w:val="32"/>
              <w:lang w:val="en-US" w:eastAsia="zh-CN"/>
            </w:rPr>
            <w:t>（一）建筑垃圾全过程监管体系</w:t>
          </w:r>
          <w:r>
            <w:rPr>
              <w:sz w:val="32"/>
              <w:szCs w:val="32"/>
            </w:rPr>
            <w:tab/>
          </w:r>
          <w:r>
            <w:rPr>
              <w:sz w:val="32"/>
              <w:szCs w:val="32"/>
            </w:rPr>
            <w:fldChar w:fldCharType="begin"/>
          </w:r>
          <w:r>
            <w:rPr>
              <w:sz w:val="32"/>
              <w:szCs w:val="32"/>
            </w:rPr>
            <w:instrText xml:space="preserve"> PAGEREF _Toc22552 \h </w:instrText>
          </w:r>
          <w:r>
            <w:rPr>
              <w:sz w:val="32"/>
              <w:szCs w:val="32"/>
            </w:rPr>
            <w:fldChar w:fldCharType="separate"/>
          </w:r>
          <w:r>
            <w:rPr>
              <w:sz w:val="32"/>
              <w:szCs w:val="32"/>
            </w:rPr>
            <w:t>- 30 -</w:t>
          </w:r>
          <w:r>
            <w:rPr>
              <w:sz w:val="32"/>
              <w:szCs w:val="32"/>
            </w:rPr>
            <w:fldChar w:fldCharType="end"/>
          </w:r>
          <w:r>
            <w:rPr>
              <w:sz w:val="32"/>
              <w:szCs w:val="32"/>
            </w:rPr>
            <w:fldChar w:fldCharType="end"/>
          </w:r>
        </w:p>
        <w:p w14:paraId="4DC76D5E">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_Toc14078 </w:instrText>
          </w:r>
          <w:r>
            <w:rPr>
              <w:sz w:val="32"/>
              <w:szCs w:val="32"/>
            </w:rPr>
            <w:fldChar w:fldCharType="separate"/>
          </w:r>
          <w:r>
            <w:rPr>
              <w:rFonts w:hint="eastAsia" w:ascii="楷体_GB2312" w:hAnsi="楷体_GB2312" w:eastAsia="楷体_GB2312" w:cs="楷体_GB2312"/>
              <w:bCs/>
              <w:spacing w:val="8"/>
              <w:sz w:val="32"/>
              <w:szCs w:val="32"/>
              <w:lang w:val="en-US" w:eastAsia="zh-CN"/>
            </w:rPr>
            <w:t>（二）建筑垃圾综合信息管理平台</w:t>
          </w:r>
          <w:r>
            <w:rPr>
              <w:sz w:val="32"/>
              <w:szCs w:val="32"/>
            </w:rPr>
            <w:tab/>
          </w:r>
          <w:r>
            <w:rPr>
              <w:sz w:val="32"/>
              <w:szCs w:val="32"/>
            </w:rPr>
            <w:fldChar w:fldCharType="begin"/>
          </w:r>
          <w:r>
            <w:rPr>
              <w:sz w:val="32"/>
              <w:szCs w:val="32"/>
            </w:rPr>
            <w:instrText xml:space="preserve"> PAGEREF _Toc14078 \h </w:instrText>
          </w:r>
          <w:r>
            <w:rPr>
              <w:sz w:val="32"/>
              <w:szCs w:val="32"/>
            </w:rPr>
            <w:fldChar w:fldCharType="separate"/>
          </w:r>
          <w:r>
            <w:rPr>
              <w:sz w:val="32"/>
              <w:szCs w:val="32"/>
            </w:rPr>
            <w:t>- 30 -</w:t>
          </w:r>
          <w:r>
            <w:rPr>
              <w:sz w:val="32"/>
              <w:szCs w:val="32"/>
            </w:rPr>
            <w:fldChar w:fldCharType="end"/>
          </w:r>
          <w:r>
            <w:rPr>
              <w:sz w:val="32"/>
              <w:szCs w:val="32"/>
            </w:rPr>
            <w:fldChar w:fldCharType="end"/>
          </w:r>
        </w:p>
        <w:p w14:paraId="1F7F1939">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_Toc30801 </w:instrText>
          </w:r>
          <w:r>
            <w:rPr>
              <w:sz w:val="32"/>
              <w:szCs w:val="32"/>
            </w:rPr>
            <w:fldChar w:fldCharType="separate"/>
          </w:r>
          <w:r>
            <w:rPr>
              <w:rFonts w:hint="eastAsia" w:ascii="楷体_GB2312" w:hAnsi="楷体_GB2312" w:eastAsia="楷体_GB2312" w:cs="楷体_GB2312"/>
              <w:bCs/>
              <w:spacing w:val="8"/>
              <w:sz w:val="32"/>
              <w:szCs w:val="32"/>
              <w:lang w:val="en-US" w:eastAsia="zh-CN"/>
            </w:rPr>
            <w:t>（三）在线交易服务和资金监管平台</w:t>
          </w:r>
          <w:r>
            <w:rPr>
              <w:sz w:val="32"/>
              <w:szCs w:val="32"/>
            </w:rPr>
            <w:tab/>
          </w:r>
          <w:r>
            <w:rPr>
              <w:sz w:val="32"/>
              <w:szCs w:val="32"/>
            </w:rPr>
            <w:fldChar w:fldCharType="begin"/>
          </w:r>
          <w:r>
            <w:rPr>
              <w:sz w:val="32"/>
              <w:szCs w:val="32"/>
            </w:rPr>
            <w:instrText xml:space="preserve"> PAGEREF _Toc30801 \h </w:instrText>
          </w:r>
          <w:r>
            <w:rPr>
              <w:sz w:val="32"/>
              <w:szCs w:val="32"/>
            </w:rPr>
            <w:fldChar w:fldCharType="separate"/>
          </w:r>
          <w:r>
            <w:rPr>
              <w:sz w:val="32"/>
              <w:szCs w:val="32"/>
            </w:rPr>
            <w:t>- 30 -</w:t>
          </w:r>
          <w:r>
            <w:rPr>
              <w:sz w:val="32"/>
              <w:szCs w:val="32"/>
            </w:rPr>
            <w:fldChar w:fldCharType="end"/>
          </w:r>
          <w:r>
            <w:rPr>
              <w:sz w:val="32"/>
              <w:szCs w:val="32"/>
            </w:rPr>
            <w:fldChar w:fldCharType="end"/>
          </w:r>
        </w:p>
        <w:p w14:paraId="64F1F7B9">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_Toc21556 </w:instrText>
          </w:r>
          <w:r>
            <w:rPr>
              <w:sz w:val="32"/>
              <w:szCs w:val="32"/>
            </w:rPr>
            <w:fldChar w:fldCharType="separate"/>
          </w:r>
          <w:r>
            <w:rPr>
              <w:rFonts w:hint="eastAsia" w:ascii="楷体_GB2312" w:hAnsi="楷体_GB2312" w:eastAsia="楷体_GB2312" w:cs="楷体_GB2312"/>
              <w:bCs/>
              <w:spacing w:val="8"/>
              <w:sz w:val="32"/>
              <w:szCs w:val="32"/>
              <w:lang w:val="en-US" w:eastAsia="zh-CN"/>
            </w:rPr>
            <w:t>（四）资源化利用综合评价系统</w:t>
          </w:r>
          <w:r>
            <w:rPr>
              <w:sz w:val="32"/>
              <w:szCs w:val="32"/>
            </w:rPr>
            <w:tab/>
          </w:r>
          <w:r>
            <w:rPr>
              <w:sz w:val="32"/>
              <w:szCs w:val="32"/>
            </w:rPr>
            <w:fldChar w:fldCharType="begin"/>
          </w:r>
          <w:r>
            <w:rPr>
              <w:sz w:val="32"/>
              <w:szCs w:val="32"/>
            </w:rPr>
            <w:instrText xml:space="preserve"> PAGEREF _Toc21556 \h </w:instrText>
          </w:r>
          <w:r>
            <w:rPr>
              <w:sz w:val="32"/>
              <w:szCs w:val="32"/>
            </w:rPr>
            <w:fldChar w:fldCharType="separate"/>
          </w:r>
          <w:r>
            <w:rPr>
              <w:sz w:val="32"/>
              <w:szCs w:val="32"/>
            </w:rPr>
            <w:t>- 30 -</w:t>
          </w:r>
          <w:r>
            <w:rPr>
              <w:sz w:val="32"/>
              <w:szCs w:val="32"/>
            </w:rPr>
            <w:fldChar w:fldCharType="end"/>
          </w:r>
          <w:r>
            <w:rPr>
              <w:sz w:val="32"/>
              <w:szCs w:val="32"/>
            </w:rPr>
            <w:fldChar w:fldCharType="end"/>
          </w:r>
        </w:p>
        <w:p w14:paraId="0C286BB4">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_Toc29471 </w:instrText>
          </w:r>
          <w:r>
            <w:rPr>
              <w:sz w:val="32"/>
              <w:szCs w:val="32"/>
            </w:rPr>
            <w:fldChar w:fldCharType="separate"/>
          </w:r>
          <w:r>
            <w:rPr>
              <w:rFonts w:hint="eastAsia" w:ascii="黑体" w:hAnsi="黑体" w:eastAsia="黑体" w:cs="黑体"/>
              <w:bCs w:val="0"/>
              <w:spacing w:val="2"/>
              <w:sz w:val="32"/>
              <w:szCs w:val="32"/>
              <w:lang w:val="en-US" w:eastAsia="zh-CN"/>
            </w:rPr>
            <w:t>四、突发事件应急预案</w:t>
          </w:r>
          <w:r>
            <w:rPr>
              <w:sz w:val="32"/>
              <w:szCs w:val="32"/>
            </w:rPr>
            <w:tab/>
          </w:r>
          <w:r>
            <w:rPr>
              <w:sz w:val="32"/>
              <w:szCs w:val="32"/>
            </w:rPr>
            <w:fldChar w:fldCharType="begin"/>
          </w:r>
          <w:r>
            <w:rPr>
              <w:sz w:val="32"/>
              <w:szCs w:val="32"/>
            </w:rPr>
            <w:instrText xml:space="preserve"> PAGEREF _Toc29471 \h </w:instrText>
          </w:r>
          <w:r>
            <w:rPr>
              <w:sz w:val="32"/>
              <w:szCs w:val="32"/>
            </w:rPr>
            <w:fldChar w:fldCharType="separate"/>
          </w:r>
          <w:r>
            <w:rPr>
              <w:sz w:val="32"/>
              <w:szCs w:val="32"/>
            </w:rPr>
            <w:t>- 30 -</w:t>
          </w:r>
          <w:r>
            <w:rPr>
              <w:sz w:val="32"/>
              <w:szCs w:val="32"/>
            </w:rPr>
            <w:fldChar w:fldCharType="end"/>
          </w:r>
          <w:r>
            <w:rPr>
              <w:sz w:val="32"/>
              <w:szCs w:val="32"/>
            </w:rPr>
            <w:fldChar w:fldCharType="end"/>
          </w:r>
        </w:p>
        <w:p w14:paraId="3050F695">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_Toc2068 </w:instrText>
          </w:r>
          <w:r>
            <w:rPr>
              <w:sz w:val="32"/>
              <w:szCs w:val="32"/>
            </w:rPr>
            <w:fldChar w:fldCharType="separate"/>
          </w:r>
          <w:r>
            <w:rPr>
              <w:rFonts w:hint="eastAsia" w:ascii="楷体_GB2312" w:hAnsi="楷体_GB2312" w:eastAsia="楷体_GB2312" w:cs="楷体_GB2312"/>
              <w:bCs/>
              <w:spacing w:val="8"/>
              <w:sz w:val="32"/>
              <w:szCs w:val="32"/>
              <w:lang w:val="en-US" w:eastAsia="zh-CN"/>
            </w:rPr>
            <w:t>（一）制定原则</w:t>
          </w:r>
          <w:r>
            <w:rPr>
              <w:sz w:val="32"/>
              <w:szCs w:val="32"/>
            </w:rPr>
            <w:tab/>
          </w:r>
          <w:r>
            <w:rPr>
              <w:sz w:val="32"/>
              <w:szCs w:val="32"/>
            </w:rPr>
            <w:fldChar w:fldCharType="begin"/>
          </w:r>
          <w:r>
            <w:rPr>
              <w:sz w:val="32"/>
              <w:szCs w:val="32"/>
            </w:rPr>
            <w:instrText xml:space="preserve"> PAGEREF _Toc2068 \h </w:instrText>
          </w:r>
          <w:r>
            <w:rPr>
              <w:sz w:val="32"/>
              <w:szCs w:val="32"/>
            </w:rPr>
            <w:fldChar w:fldCharType="separate"/>
          </w:r>
          <w:r>
            <w:rPr>
              <w:sz w:val="32"/>
              <w:szCs w:val="32"/>
            </w:rPr>
            <w:t>- 30 -</w:t>
          </w:r>
          <w:r>
            <w:rPr>
              <w:sz w:val="32"/>
              <w:szCs w:val="32"/>
            </w:rPr>
            <w:fldChar w:fldCharType="end"/>
          </w:r>
          <w:r>
            <w:rPr>
              <w:sz w:val="32"/>
              <w:szCs w:val="32"/>
            </w:rPr>
            <w:fldChar w:fldCharType="end"/>
          </w:r>
        </w:p>
        <w:p w14:paraId="33FA9374">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_Toc6086 </w:instrText>
          </w:r>
          <w:r>
            <w:rPr>
              <w:sz w:val="32"/>
              <w:szCs w:val="32"/>
            </w:rPr>
            <w:fldChar w:fldCharType="separate"/>
          </w:r>
          <w:r>
            <w:rPr>
              <w:rFonts w:hint="eastAsia" w:ascii="楷体_GB2312" w:hAnsi="楷体_GB2312" w:eastAsia="楷体_GB2312" w:cs="楷体_GB2312"/>
              <w:bCs/>
              <w:spacing w:val="8"/>
              <w:sz w:val="32"/>
              <w:szCs w:val="32"/>
              <w:lang w:val="en-US" w:eastAsia="zh-CN"/>
            </w:rPr>
            <w:t>（二）响应程序</w:t>
          </w:r>
          <w:r>
            <w:rPr>
              <w:sz w:val="32"/>
              <w:szCs w:val="32"/>
            </w:rPr>
            <w:tab/>
          </w:r>
          <w:r>
            <w:rPr>
              <w:sz w:val="32"/>
              <w:szCs w:val="32"/>
            </w:rPr>
            <w:fldChar w:fldCharType="begin"/>
          </w:r>
          <w:r>
            <w:rPr>
              <w:sz w:val="32"/>
              <w:szCs w:val="32"/>
            </w:rPr>
            <w:instrText xml:space="preserve"> PAGEREF _Toc6086 \h </w:instrText>
          </w:r>
          <w:r>
            <w:rPr>
              <w:sz w:val="32"/>
              <w:szCs w:val="32"/>
            </w:rPr>
            <w:fldChar w:fldCharType="separate"/>
          </w:r>
          <w:r>
            <w:rPr>
              <w:sz w:val="32"/>
              <w:szCs w:val="32"/>
            </w:rPr>
            <w:t>- 31 -</w:t>
          </w:r>
          <w:r>
            <w:rPr>
              <w:sz w:val="32"/>
              <w:szCs w:val="32"/>
            </w:rPr>
            <w:fldChar w:fldCharType="end"/>
          </w:r>
          <w:r>
            <w:rPr>
              <w:sz w:val="32"/>
              <w:szCs w:val="32"/>
            </w:rPr>
            <w:fldChar w:fldCharType="end"/>
          </w:r>
        </w:p>
        <w:p w14:paraId="49754F6B">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_Toc20976 </w:instrText>
          </w:r>
          <w:r>
            <w:rPr>
              <w:sz w:val="32"/>
              <w:szCs w:val="32"/>
            </w:rPr>
            <w:fldChar w:fldCharType="separate"/>
          </w:r>
          <w:r>
            <w:rPr>
              <w:rFonts w:hint="eastAsia" w:ascii="楷体_GB2312" w:hAnsi="楷体_GB2312" w:eastAsia="楷体_GB2312" w:cs="楷体_GB2312"/>
              <w:bCs/>
              <w:spacing w:val="8"/>
              <w:sz w:val="32"/>
              <w:szCs w:val="32"/>
              <w:lang w:val="en-US" w:eastAsia="zh-CN"/>
            </w:rPr>
            <w:t>（三）应急保障措施</w:t>
          </w:r>
          <w:r>
            <w:rPr>
              <w:sz w:val="32"/>
              <w:szCs w:val="32"/>
            </w:rPr>
            <w:tab/>
          </w:r>
          <w:r>
            <w:rPr>
              <w:sz w:val="32"/>
              <w:szCs w:val="32"/>
            </w:rPr>
            <w:fldChar w:fldCharType="begin"/>
          </w:r>
          <w:r>
            <w:rPr>
              <w:sz w:val="32"/>
              <w:szCs w:val="32"/>
            </w:rPr>
            <w:instrText xml:space="preserve"> PAGEREF _Toc20976 \h </w:instrText>
          </w:r>
          <w:r>
            <w:rPr>
              <w:sz w:val="32"/>
              <w:szCs w:val="32"/>
            </w:rPr>
            <w:fldChar w:fldCharType="separate"/>
          </w:r>
          <w:r>
            <w:rPr>
              <w:sz w:val="32"/>
              <w:szCs w:val="32"/>
            </w:rPr>
            <w:t>- 31 -</w:t>
          </w:r>
          <w:r>
            <w:rPr>
              <w:sz w:val="32"/>
              <w:szCs w:val="32"/>
            </w:rPr>
            <w:fldChar w:fldCharType="end"/>
          </w:r>
          <w:r>
            <w:rPr>
              <w:sz w:val="32"/>
              <w:szCs w:val="32"/>
            </w:rPr>
            <w:fldChar w:fldCharType="end"/>
          </w:r>
        </w:p>
        <w:p w14:paraId="093E2451">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_Toc10468 </w:instrText>
          </w:r>
          <w:r>
            <w:rPr>
              <w:sz w:val="32"/>
              <w:szCs w:val="32"/>
            </w:rPr>
            <w:fldChar w:fldCharType="separate"/>
          </w:r>
          <w:r>
            <w:rPr>
              <w:rFonts w:hint="eastAsia" w:ascii="楷体_GB2312" w:hAnsi="楷体_GB2312" w:eastAsia="楷体_GB2312" w:cs="楷体_GB2312"/>
              <w:bCs/>
              <w:spacing w:val="8"/>
              <w:sz w:val="32"/>
              <w:szCs w:val="32"/>
              <w:lang w:val="en-US" w:eastAsia="zh-CN"/>
            </w:rPr>
            <w:t>（四）善后处置</w:t>
          </w:r>
          <w:r>
            <w:rPr>
              <w:sz w:val="32"/>
              <w:szCs w:val="32"/>
            </w:rPr>
            <w:tab/>
          </w:r>
          <w:r>
            <w:rPr>
              <w:sz w:val="32"/>
              <w:szCs w:val="32"/>
            </w:rPr>
            <w:fldChar w:fldCharType="begin"/>
          </w:r>
          <w:r>
            <w:rPr>
              <w:sz w:val="32"/>
              <w:szCs w:val="32"/>
            </w:rPr>
            <w:instrText xml:space="preserve"> PAGEREF _Toc10468 \h </w:instrText>
          </w:r>
          <w:r>
            <w:rPr>
              <w:sz w:val="32"/>
              <w:szCs w:val="32"/>
            </w:rPr>
            <w:fldChar w:fldCharType="separate"/>
          </w:r>
          <w:r>
            <w:rPr>
              <w:sz w:val="32"/>
              <w:szCs w:val="32"/>
            </w:rPr>
            <w:t>- 31 -</w:t>
          </w:r>
          <w:r>
            <w:rPr>
              <w:sz w:val="32"/>
              <w:szCs w:val="32"/>
            </w:rPr>
            <w:fldChar w:fldCharType="end"/>
          </w:r>
          <w:r>
            <w:rPr>
              <w:sz w:val="32"/>
              <w:szCs w:val="32"/>
            </w:rPr>
            <w:fldChar w:fldCharType="end"/>
          </w:r>
        </w:p>
        <w:p w14:paraId="5E49367E">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p>
        <w:p w14:paraId="0057CFB4">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_Toc4123 </w:instrText>
          </w:r>
          <w:r>
            <w:rPr>
              <w:sz w:val="32"/>
              <w:szCs w:val="32"/>
            </w:rPr>
            <w:fldChar w:fldCharType="separate"/>
          </w:r>
          <w:r>
            <w:rPr>
              <w:rFonts w:hint="eastAsia" w:ascii="黑体" w:hAnsi="黑体" w:eastAsia="黑体" w:cs="黑体"/>
              <w:spacing w:val="7"/>
              <w:sz w:val="32"/>
              <w:szCs w:val="32"/>
              <w:lang w:val="en-US" w:eastAsia="zh-CN"/>
            </w:rPr>
            <w:t>第十章 近期规划及实施计划</w:t>
          </w:r>
          <w:r>
            <w:rPr>
              <w:sz w:val="32"/>
              <w:szCs w:val="32"/>
            </w:rPr>
            <w:tab/>
          </w:r>
          <w:r>
            <w:rPr>
              <w:sz w:val="32"/>
              <w:szCs w:val="32"/>
            </w:rPr>
            <w:fldChar w:fldCharType="begin"/>
          </w:r>
          <w:r>
            <w:rPr>
              <w:sz w:val="32"/>
              <w:szCs w:val="32"/>
            </w:rPr>
            <w:instrText xml:space="preserve"> PAGEREF _Toc4123 \h </w:instrText>
          </w:r>
          <w:r>
            <w:rPr>
              <w:sz w:val="32"/>
              <w:szCs w:val="32"/>
            </w:rPr>
            <w:fldChar w:fldCharType="separate"/>
          </w:r>
          <w:r>
            <w:rPr>
              <w:sz w:val="32"/>
              <w:szCs w:val="32"/>
            </w:rPr>
            <w:t>- 32 -</w:t>
          </w:r>
          <w:r>
            <w:rPr>
              <w:sz w:val="32"/>
              <w:szCs w:val="32"/>
            </w:rPr>
            <w:fldChar w:fldCharType="end"/>
          </w:r>
          <w:r>
            <w:rPr>
              <w:sz w:val="32"/>
              <w:szCs w:val="32"/>
            </w:rPr>
            <w:fldChar w:fldCharType="end"/>
          </w:r>
        </w:p>
        <w:p w14:paraId="0A0B0069">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_Toc24815 </w:instrText>
          </w:r>
          <w:r>
            <w:rPr>
              <w:sz w:val="32"/>
              <w:szCs w:val="32"/>
            </w:rPr>
            <w:fldChar w:fldCharType="separate"/>
          </w:r>
          <w:r>
            <w:rPr>
              <w:rFonts w:hint="eastAsia" w:ascii="黑体" w:hAnsi="黑体" w:eastAsia="黑体" w:cs="黑体"/>
              <w:bCs w:val="0"/>
              <w:spacing w:val="2"/>
              <w:sz w:val="32"/>
              <w:szCs w:val="32"/>
              <w:lang w:val="en-US" w:eastAsia="zh-CN"/>
            </w:rPr>
            <w:t>一、近期工作规划</w:t>
          </w:r>
          <w:r>
            <w:rPr>
              <w:sz w:val="32"/>
              <w:szCs w:val="32"/>
            </w:rPr>
            <w:tab/>
          </w:r>
          <w:r>
            <w:rPr>
              <w:sz w:val="32"/>
              <w:szCs w:val="32"/>
            </w:rPr>
            <w:fldChar w:fldCharType="begin"/>
          </w:r>
          <w:r>
            <w:rPr>
              <w:sz w:val="32"/>
              <w:szCs w:val="32"/>
            </w:rPr>
            <w:instrText xml:space="preserve"> PAGEREF _Toc24815 \h </w:instrText>
          </w:r>
          <w:r>
            <w:rPr>
              <w:sz w:val="32"/>
              <w:szCs w:val="32"/>
            </w:rPr>
            <w:fldChar w:fldCharType="separate"/>
          </w:r>
          <w:r>
            <w:rPr>
              <w:sz w:val="32"/>
              <w:szCs w:val="32"/>
            </w:rPr>
            <w:t>- 32 -</w:t>
          </w:r>
          <w:r>
            <w:rPr>
              <w:sz w:val="32"/>
              <w:szCs w:val="32"/>
            </w:rPr>
            <w:fldChar w:fldCharType="end"/>
          </w:r>
          <w:r>
            <w:rPr>
              <w:sz w:val="32"/>
              <w:szCs w:val="32"/>
            </w:rPr>
            <w:fldChar w:fldCharType="end"/>
          </w:r>
        </w:p>
        <w:p w14:paraId="5266AA0C">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_Toc15101 </w:instrText>
          </w:r>
          <w:r>
            <w:rPr>
              <w:sz w:val="32"/>
              <w:szCs w:val="32"/>
            </w:rPr>
            <w:fldChar w:fldCharType="separate"/>
          </w:r>
          <w:r>
            <w:rPr>
              <w:rFonts w:hint="eastAsia" w:ascii="楷体_GB2312" w:hAnsi="楷体_GB2312" w:eastAsia="楷体_GB2312" w:cs="楷体_GB2312"/>
              <w:bCs/>
              <w:spacing w:val="8"/>
              <w:sz w:val="32"/>
              <w:szCs w:val="32"/>
              <w:lang w:val="en-US" w:eastAsia="zh-CN"/>
            </w:rPr>
            <w:t>（一）严格落实建筑垃圾分类管理</w:t>
          </w:r>
          <w:r>
            <w:rPr>
              <w:sz w:val="32"/>
              <w:szCs w:val="32"/>
            </w:rPr>
            <w:tab/>
          </w:r>
          <w:r>
            <w:rPr>
              <w:sz w:val="32"/>
              <w:szCs w:val="32"/>
            </w:rPr>
            <w:fldChar w:fldCharType="begin"/>
          </w:r>
          <w:r>
            <w:rPr>
              <w:sz w:val="32"/>
              <w:szCs w:val="32"/>
            </w:rPr>
            <w:instrText xml:space="preserve"> PAGEREF _Toc15101 \h </w:instrText>
          </w:r>
          <w:r>
            <w:rPr>
              <w:sz w:val="32"/>
              <w:szCs w:val="32"/>
            </w:rPr>
            <w:fldChar w:fldCharType="separate"/>
          </w:r>
          <w:r>
            <w:rPr>
              <w:sz w:val="32"/>
              <w:szCs w:val="32"/>
            </w:rPr>
            <w:t>- 32 -</w:t>
          </w:r>
          <w:r>
            <w:rPr>
              <w:sz w:val="32"/>
              <w:szCs w:val="32"/>
            </w:rPr>
            <w:fldChar w:fldCharType="end"/>
          </w:r>
          <w:r>
            <w:rPr>
              <w:sz w:val="32"/>
              <w:szCs w:val="32"/>
            </w:rPr>
            <w:fldChar w:fldCharType="end"/>
          </w:r>
        </w:p>
        <w:p w14:paraId="3A94C1C8">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_Toc26468 </w:instrText>
          </w:r>
          <w:r>
            <w:rPr>
              <w:sz w:val="32"/>
              <w:szCs w:val="32"/>
            </w:rPr>
            <w:fldChar w:fldCharType="separate"/>
          </w:r>
          <w:r>
            <w:rPr>
              <w:rFonts w:hint="eastAsia" w:ascii="楷体_GB2312" w:hAnsi="楷体_GB2312" w:eastAsia="楷体_GB2312" w:cs="楷体_GB2312"/>
              <w:bCs/>
              <w:spacing w:val="8"/>
              <w:sz w:val="32"/>
              <w:szCs w:val="32"/>
              <w:lang w:val="en-US" w:eastAsia="zh-CN"/>
            </w:rPr>
            <w:t>（二）规范建筑垃圾收运车辆</w:t>
          </w:r>
          <w:r>
            <w:rPr>
              <w:sz w:val="32"/>
              <w:szCs w:val="32"/>
            </w:rPr>
            <w:tab/>
          </w:r>
          <w:r>
            <w:rPr>
              <w:sz w:val="32"/>
              <w:szCs w:val="32"/>
            </w:rPr>
            <w:fldChar w:fldCharType="begin"/>
          </w:r>
          <w:r>
            <w:rPr>
              <w:sz w:val="32"/>
              <w:szCs w:val="32"/>
            </w:rPr>
            <w:instrText xml:space="preserve"> PAGEREF _Toc26468 \h </w:instrText>
          </w:r>
          <w:r>
            <w:rPr>
              <w:sz w:val="32"/>
              <w:szCs w:val="32"/>
            </w:rPr>
            <w:fldChar w:fldCharType="separate"/>
          </w:r>
          <w:r>
            <w:rPr>
              <w:sz w:val="32"/>
              <w:szCs w:val="32"/>
            </w:rPr>
            <w:t>- 32 -</w:t>
          </w:r>
          <w:r>
            <w:rPr>
              <w:sz w:val="32"/>
              <w:szCs w:val="32"/>
            </w:rPr>
            <w:fldChar w:fldCharType="end"/>
          </w:r>
          <w:r>
            <w:rPr>
              <w:sz w:val="32"/>
              <w:szCs w:val="32"/>
            </w:rPr>
            <w:fldChar w:fldCharType="end"/>
          </w:r>
        </w:p>
        <w:p w14:paraId="79ED6C2A">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_Toc4586 </w:instrText>
          </w:r>
          <w:r>
            <w:rPr>
              <w:sz w:val="32"/>
              <w:szCs w:val="32"/>
            </w:rPr>
            <w:fldChar w:fldCharType="separate"/>
          </w:r>
          <w:r>
            <w:rPr>
              <w:rFonts w:hint="eastAsia" w:ascii="楷体_GB2312" w:hAnsi="楷体_GB2312" w:eastAsia="楷体_GB2312" w:cs="楷体_GB2312"/>
              <w:bCs/>
              <w:spacing w:val="8"/>
              <w:sz w:val="32"/>
              <w:szCs w:val="32"/>
              <w:lang w:val="en-US" w:eastAsia="zh-CN"/>
            </w:rPr>
            <w:t>（三）加快建筑垃圾资源化利用和处置设施建设</w:t>
          </w:r>
          <w:r>
            <w:rPr>
              <w:sz w:val="32"/>
              <w:szCs w:val="32"/>
            </w:rPr>
            <w:tab/>
          </w:r>
          <w:r>
            <w:rPr>
              <w:sz w:val="32"/>
              <w:szCs w:val="32"/>
            </w:rPr>
            <w:fldChar w:fldCharType="begin"/>
          </w:r>
          <w:r>
            <w:rPr>
              <w:sz w:val="32"/>
              <w:szCs w:val="32"/>
            </w:rPr>
            <w:instrText xml:space="preserve"> PAGEREF _Toc4586 \h </w:instrText>
          </w:r>
          <w:r>
            <w:rPr>
              <w:sz w:val="32"/>
              <w:szCs w:val="32"/>
            </w:rPr>
            <w:fldChar w:fldCharType="separate"/>
          </w:r>
          <w:r>
            <w:rPr>
              <w:sz w:val="32"/>
              <w:szCs w:val="32"/>
            </w:rPr>
            <w:t>- 32 -</w:t>
          </w:r>
          <w:r>
            <w:rPr>
              <w:sz w:val="32"/>
              <w:szCs w:val="32"/>
            </w:rPr>
            <w:fldChar w:fldCharType="end"/>
          </w:r>
          <w:r>
            <w:rPr>
              <w:sz w:val="32"/>
              <w:szCs w:val="32"/>
            </w:rPr>
            <w:fldChar w:fldCharType="end"/>
          </w:r>
        </w:p>
        <w:p w14:paraId="59BB4073">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_Toc9426 </w:instrText>
          </w:r>
          <w:r>
            <w:rPr>
              <w:sz w:val="32"/>
              <w:szCs w:val="32"/>
            </w:rPr>
            <w:fldChar w:fldCharType="separate"/>
          </w:r>
          <w:r>
            <w:rPr>
              <w:rFonts w:hint="eastAsia" w:ascii="楷体_GB2312" w:hAnsi="楷体_GB2312" w:eastAsia="楷体_GB2312" w:cs="楷体_GB2312"/>
              <w:bCs/>
              <w:spacing w:val="8"/>
              <w:sz w:val="32"/>
              <w:szCs w:val="32"/>
              <w:lang w:val="en-US" w:eastAsia="zh-CN"/>
            </w:rPr>
            <w:t>（四）推动建筑垃圾资源化利用产业化发展</w:t>
          </w:r>
          <w:r>
            <w:rPr>
              <w:sz w:val="32"/>
              <w:szCs w:val="32"/>
            </w:rPr>
            <w:tab/>
          </w:r>
          <w:r>
            <w:rPr>
              <w:sz w:val="32"/>
              <w:szCs w:val="32"/>
            </w:rPr>
            <w:fldChar w:fldCharType="begin"/>
          </w:r>
          <w:r>
            <w:rPr>
              <w:sz w:val="32"/>
              <w:szCs w:val="32"/>
            </w:rPr>
            <w:instrText xml:space="preserve"> PAGEREF _Toc9426 \h </w:instrText>
          </w:r>
          <w:r>
            <w:rPr>
              <w:sz w:val="32"/>
              <w:szCs w:val="32"/>
            </w:rPr>
            <w:fldChar w:fldCharType="separate"/>
          </w:r>
          <w:r>
            <w:rPr>
              <w:sz w:val="32"/>
              <w:szCs w:val="32"/>
            </w:rPr>
            <w:t>- 32 -</w:t>
          </w:r>
          <w:r>
            <w:rPr>
              <w:sz w:val="32"/>
              <w:szCs w:val="32"/>
            </w:rPr>
            <w:fldChar w:fldCharType="end"/>
          </w:r>
          <w:r>
            <w:rPr>
              <w:sz w:val="32"/>
              <w:szCs w:val="32"/>
            </w:rPr>
            <w:fldChar w:fldCharType="end"/>
          </w:r>
        </w:p>
        <w:p w14:paraId="3903CE41">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_Toc3996 </w:instrText>
          </w:r>
          <w:r>
            <w:rPr>
              <w:sz w:val="32"/>
              <w:szCs w:val="32"/>
            </w:rPr>
            <w:fldChar w:fldCharType="separate"/>
          </w:r>
          <w:r>
            <w:rPr>
              <w:rFonts w:hint="eastAsia" w:ascii="楷体_GB2312" w:hAnsi="楷体_GB2312" w:eastAsia="楷体_GB2312" w:cs="楷体_GB2312"/>
              <w:bCs/>
              <w:spacing w:val="8"/>
              <w:sz w:val="32"/>
              <w:szCs w:val="32"/>
              <w:lang w:val="en-US" w:eastAsia="zh-CN"/>
            </w:rPr>
            <w:t>（五）推进建筑垃圾监督管理信息化建设</w:t>
          </w:r>
          <w:r>
            <w:rPr>
              <w:sz w:val="32"/>
              <w:szCs w:val="32"/>
            </w:rPr>
            <w:tab/>
          </w:r>
          <w:r>
            <w:rPr>
              <w:sz w:val="32"/>
              <w:szCs w:val="32"/>
            </w:rPr>
            <w:fldChar w:fldCharType="begin"/>
          </w:r>
          <w:r>
            <w:rPr>
              <w:sz w:val="32"/>
              <w:szCs w:val="32"/>
            </w:rPr>
            <w:instrText xml:space="preserve"> PAGEREF _Toc3996 \h </w:instrText>
          </w:r>
          <w:r>
            <w:rPr>
              <w:sz w:val="32"/>
              <w:szCs w:val="32"/>
            </w:rPr>
            <w:fldChar w:fldCharType="separate"/>
          </w:r>
          <w:r>
            <w:rPr>
              <w:sz w:val="32"/>
              <w:szCs w:val="32"/>
            </w:rPr>
            <w:t>- 32 -</w:t>
          </w:r>
          <w:r>
            <w:rPr>
              <w:sz w:val="32"/>
              <w:szCs w:val="32"/>
            </w:rPr>
            <w:fldChar w:fldCharType="end"/>
          </w:r>
          <w:r>
            <w:rPr>
              <w:sz w:val="32"/>
              <w:szCs w:val="32"/>
            </w:rPr>
            <w:fldChar w:fldCharType="end"/>
          </w:r>
        </w:p>
        <w:p w14:paraId="58867E93">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_Toc5096 </w:instrText>
          </w:r>
          <w:r>
            <w:rPr>
              <w:sz w:val="32"/>
              <w:szCs w:val="32"/>
            </w:rPr>
            <w:fldChar w:fldCharType="separate"/>
          </w:r>
          <w:r>
            <w:rPr>
              <w:rFonts w:hint="eastAsia" w:ascii="黑体" w:hAnsi="黑体" w:eastAsia="黑体" w:cs="黑体"/>
              <w:bCs w:val="0"/>
              <w:spacing w:val="2"/>
              <w:sz w:val="32"/>
              <w:szCs w:val="32"/>
              <w:lang w:val="en-US" w:eastAsia="zh-CN"/>
            </w:rPr>
            <w:t>二、近期建设内容</w:t>
          </w:r>
          <w:r>
            <w:rPr>
              <w:sz w:val="32"/>
              <w:szCs w:val="32"/>
            </w:rPr>
            <w:tab/>
          </w:r>
          <w:r>
            <w:rPr>
              <w:sz w:val="32"/>
              <w:szCs w:val="32"/>
            </w:rPr>
            <w:fldChar w:fldCharType="begin"/>
          </w:r>
          <w:r>
            <w:rPr>
              <w:sz w:val="32"/>
              <w:szCs w:val="32"/>
            </w:rPr>
            <w:instrText xml:space="preserve"> PAGEREF _Toc5096 \h </w:instrText>
          </w:r>
          <w:r>
            <w:rPr>
              <w:sz w:val="32"/>
              <w:szCs w:val="32"/>
            </w:rPr>
            <w:fldChar w:fldCharType="separate"/>
          </w:r>
          <w:r>
            <w:rPr>
              <w:sz w:val="32"/>
              <w:szCs w:val="32"/>
            </w:rPr>
            <w:t>- 33 -</w:t>
          </w:r>
          <w:r>
            <w:rPr>
              <w:sz w:val="32"/>
              <w:szCs w:val="32"/>
            </w:rPr>
            <w:fldChar w:fldCharType="end"/>
          </w:r>
          <w:r>
            <w:rPr>
              <w:sz w:val="32"/>
              <w:szCs w:val="32"/>
            </w:rPr>
            <w:fldChar w:fldCharType="end"/>
          </w:r>
        </w:p>
        <w:p w14:paraId="0EF4574E">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_Toc27511 </w:instrText>
          </w:r>
          <w:r>
            <w:rPr>
              <w:sz w:val="32"/>
              <w:szCs w:val="32"/>
            </w:rPr>
            <w:fldChar w:fldCharType="separate"/>
          </w:r>
          <w:r>
            <w:rPr>
              <w:rFonts w:hint="eastAsia" w:ascii="楷体_GB2312" w:hAnsi="楷体_GB2312" w:eastAsia="楷体_GB2312" w:cs="楷体_GB2312"/>
              <w:bCs/>
              <w:spacing w:val="8"/>
              <w:sz w:val="32"/>
              <w:szCs w:val="32"/>
              <w:lang w:val="en-US" w:eastAsia="zh-CN"/>
            </w:rPr>
            <w:t>（一）</w:t>
          </w:r>
          <w:r>
            <w:rPr>
              <w:rFonts w:hint="default" w:ascii="楷体_GB2312" w:hAnsi="楷体_GB2312" w:eastAsia="楷体_GB2312" w:cs="楷体_GB2312"/>
              <w:bCs/>
              <w:spacing w:val="8"/>
              <w:sz w:val="32"/>
              <w:szCs w:val="32"/>
              <w:lang w:eastAsia="zh-CN"/>
            </w:rPr>
            <w:t>完善建筑垃圾堆倒场建设</w:t>
          </w:r>
          <w:r>
            <w:rPr>
              <w:sz w:val="32"/>
              <w:szCs w:val="32"/>
            </w:rPr>
            <w:tab/>
          </w:r>
          <w:r>
            <w:rPr>
              <w:sz w:val="32"/>
              <w:szCs w:val="32"/>
            </w:rPr>
            <w:fldChar w:fldCharType="begin"/>
          </w:r>
          <w:r>
            <w:rPr>
              <w:sz w:val="32"/>
              <w:szCs w:val="32"/>
            </w:rPr>
            <w:instrText xml:space="preserve"> PAGEREF _Toc27511 \h </w:instrText>
          </w:r>
          <w:r>
            <w:rPr>
              <w:sz w:val="32"/>
              <w:szCs w:val="32"/>
            </w:rPr>
            <w:fldChar w:fldCharType="separate"/>
          </w:r>
          <w:r>
            <w:rPr>
              <w:sz w:val="32"/>
              <w:szCs w:val="32"/>
            </w:rPr>
            <w:t>- 33 -</w:t>
          </w:r>
          <w:r>
            <w:rPr>
              <w:sz w:val="32"/>
              <w:szCs w:val="32"/>
            </w:rPr>
            <w:fldChar w:fldCharType="end"/>
          </w:r>
          <w:r>
            <w:rPr>
              <w:sz w:val="32"/>
              <w:szCs w:val="32"/>
            </w:rPr>
            <w:fldChar w:fldCharType="end"/>
          </w:r>
        </w:p>
        <w:p w14:paraId="63D31226">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_Toc24611 </w:instrText>
          </w:r>
          <w:r>
            <w:rPr>
              <w:sz w:val="32"/>
              <w:szCs w:val="32"/>
            </w:rPr>
            <w:fldChar w:fldCharType="separate"/>
          </w:r>
          <w:r>
            <w:rPr>
              <w:rFonts w:hint="eastAsia" w:ascii="楷体_GB2312" w:hAnsi="楷体_GB2312" w:eastAsia="楷体_GB2312" w:cs="楷体_GB2312"/>
              <w:bCs/>
              <w:spacing w:val="8"/>
              <w:sz w:val="32"/>
              <w:szCs w:val="32"/>
              <w:lang w:val="en-US" w:eastAsia="zh-CN"/>
            </w:rPr>
            <w:t>（二）</w:t>
          </w:r>
          <w:r>
            <w:rPr>
              <w:rFonts w:hint="default" w:ascii="楷体_GB2312" w:hAnsi="楷体_GB2312" w:eastAsia="楷体_GB2312" w:cs="楷体_GB2312"/>
              <w:bCs/>
              <w:spacing w:val="8"/>
              <w:sz w:val="32"/>
              <w:szCs w:val="32"/>
              <w:lang w:eastAsia="zh-CN"/>
            </w:rPr>
            <w:t>建设固定建筑垃圾资源化利用厂</w:t>
          </w:r>
          <w:r>
            <w:rPr>
              <w:sz w:val="32"/>
              <w:szCs w:val="32"/>
            </w:rPr>
            <w:tab/>
          </w:r>
          <w:r>
            <w:rPr>
              <w:sz w:val="32"/>
              <w:szCs w:val="32"/>
            </w:rPr>
            <w:fldChar w:fldCharType="begin"/>
          </w:r>
          <w:r>
            <w:rPr>
              <w:sz w:val="32"/>
              <w:szCs w:val="32"/>
            </w:rPr>
            <w:instrText xml:space="preserve"> PAGEREF _Toc24611 \h </w:instrText>
          </w:r>
          <w:r>
            <w:rPr>
              <w:sz w:val="32"/>
              <w:szCs w:val="32"/>
            </w:rPr>
            <w:fldChar w:fldCharType="separate"/>
          </w:r>
          <w:r>
            <w:rPr>
              <w:sz w:val="32"/>
              <w:szCs w:val="32"/>
            </w:rPr>
            <w:t>- 33 -</w:t>
          </w:r>
          <w:r>
            <w:rPr>
              <w:sz w:val="32"/>
              <w:szCs w:val="32"/>
            </w:rPr>
            <w:fldChar w:fldCharType="end"/>
          </w:r>
          <w:r>
            <w:rPr>
              <w:sz w:val="32"/>
              <w:szCs w:val="32"/>
            </w:rPr>
            <w:fldChar w:fldCharType="end"/>
          </w:r>
        </w:p>
        <w:p w14:paraId="577EEA4C">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_Toc22023 </w:instrText>
          </w:r>
          <w:r>
            <w:rPr>
              <w:sz w:val="32"/>
              <w:szCs w:val="32"/>
            </w:rPr>
            <w:fldChar w:fldCharType="separate"/>
          </w:r>
          <w:r>
            <w:rPr>
              <w:rFonts w:hint="eastAsia" w:ascii="楷体_GB2312" w:hAnsi="楷体_GB2312" w:eastAsia="楷体_GB2312" w:cs="楷体_GB2312"/>
              <w:bCs/>
              <w:spacing w:val="8"/>
              <w:sz w:val="32"/>
              <w:szCs w:val="32"/>
              <w:lang w:eastAsia="zh-CN"/>
            </w:rPr>
            <w:t>（</w:t>
          </w:r>
          <w:r>
            <w:rPr>
              <w:rFonts w:hint="eastAsia" w:ascii="楷体_GB2312" w:hAnsi="楷体_GB2312" w:eastAsia="楷体_GB2312" w:cs="楷体_GB2312"/>
              <w:bCs/>
              <w:spacing w:val="8"/>
              <w:sz w:val="32"/>
              <w:szCs w:val="32"/>
              <w:lang w:val="en-US" w:eastAsia="zh-CN"/>
            </w:rPr>
            <w:t>三</w:t>
          </w:r>
          <w:r>
            <w:rPr>
              <w:rFonts w:hint="eastAsia" w:ascii="楷体_GB2312" w:hAnsi="楷体_GB2312" w:eastAsia="楷体_GB2312" w:cs="楷体_GB2312"/>
              <w:bCs/>
              <w:spacing w:val="8"/>
              <w:sz w:val="32"/>
              <w:szCs w:val="32"/>
              <w:lang w:eastAsia="zh-CN"/>
            </w:rPr>
            <w:t>）</w:t>
          </w:r>
          <w:r>
            <w:rPr>
              <w:rFonts w:hint="default" w:ascii="楷体_GB2312" w:hAnsi="楷体_GB2312" w:eastAsia="楷体_GB2312" w:cs="楷体_GB2312"/>
              <w:bCs/>
              <w:spacing w:val="8"/>
              <w:sz w:val="32"/>
              <w:szCs w:val="32"/>
              <w:lang w:eastAsia="zh-CN"/>
            </w:rPr>
            <w:t>推进建筑垃圾收集系统建设</w:t>
          </w:r>
          <w:r>
            <w:rPr>
              <w:sz w:val="32"/>
              <w:szCs w:val="32"/>
            </w:rPr>
            <w:tab/>
          </w:r>
          <w:r>
            <w:rPr>
              <w:sz w:val="32"/>
              <w:szCs w:val="32"/>
            </w:rPr>
            <w:fldChar w:fldCharType="begin"/>
          </w:r>
          <w:r>
            <w:rPr>
              <w:sz w:val="32"/>
              <w:szCs w:val="32"/>
            </w:rPr>
            <w:instrText xml:space="preserve"> PAGEREF _Toc22023 \h </w:instrText>
          </w:r>
          <w:r>
            <w:rPr>
              <w:sz w:val="32"/>
              <w:szCs w:val="32"/>
            </w:rPr>
            <w:fldChar w:fldCharType="separate"/>
          </w:r>
          <w:r>
            <w:rPr>
              <w:sz w:val="32"/>
              <w:szCs w:val="32"/>
            </w:rPr>
            <w:t>- 33 -</w:t>
          </w:r>
          <w:r>
            <w:rPr>
              <w:sz w:val="32"/>
              <w:szCs w:val="32"/>
            </w:rPr>
            <w:fldChar w:fldCharType="end"/>
          </w:r>
          <w:r>
            <w:rPr>
              <w:sz w:val="32"/>
              <w:szCs w:val="32"/>
            </w:rPr>
            <w:fldChar w:fldCharType="end"/>
          </w:r>
        </w:p>
        <w:p w14:paraId="00273B41">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_Toc26329 </w:instrText>
          </w:r>
          <w:r>
            <w:rPr>
              <w:sz w:val="32"/>
              <w:szCs w:val="32"/>
            </w:rPr>
            <w:fldChar w:fldCharType="separate"/>
          </w:r>
          <w:r>
            <w:rPr>
              <w:rFonts w:hint="eastAsia" w:ascii="黑体" w:hAnsi="黑体" w:eastAsia="黑体" w:cs="黑体"/>
              <w:bCs w:val="0"/>
              <w:spacing w:val="2"/>
              <w:sz w:val="32"/>
              <w:szCs w:val="32"/>
              <w:lang w:val="en-US" w:eastAsia="zh-CN"/>
            </w:rPr>
            <w:t>三、近期重点项目</w:t>
          </w:r>
          <w:r>
            <w:rPr>
              <w:sz w:val="32"/>
              <w:szCs w:val="32"/>
            </w:rPr>
            <w:tab/>
          </w:r>
          <w:r>
            <w:rPr>
              <w:sz w:val="32"/>
              <w:szCs w:val="32"/>
            </w:rPr>
            <w:fldChar w:fldCharType="begin"/>
          </w:r>
          <w:r>
            <w:rPr>
              <w:sz w:val="32"/>
              <w:szCs w:val="32"/>
            </w:rPr>
            <w:instrText xml:space="preserve"> PAGEREF _Toc26329 \h </w:instrText>
          </w:r>
          <w:r>
            <w:rPr>
              <w:sz w:val="32"/>
              <w:szCs w:val="32"/>
            </w:rPr>
            <w:fldChar w:fldCharType="separate"/>
          </w:r>
          <w:r>
            <w:rPr>
              <w:sz w:val="32"/>
              <w:szCs w:val="32"/>
            </w:rPr>
            <w:t>- 33 -</w:t>
          </w:r>
          <w:r>
            <w:rPr>
              <w:sz w:val="32"/>
              <w:szCs w:val="32"/>
            </w:rPr>
            <w:fldChar w:fldCharType="end"/>
          </w:r>
          <w:r>
            <w:rPr>
              <w:sz w:val="32"/>
              <w:szCs w:val="32"/>
            </w:rPr>
            <w:fldChar w:fldCharType="end"/>
          </w:r>
        </w:p>
        <w:p w14:paraId="7172E65A">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p>
        <w:p w14:paraId="5C7F368C">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_Toc21077 </w:instrText>
          </w:r>
          <w:r>
            <w:rPr>
              <w:sz w:val="32"/>
              <w:szCs w:val="32"/>
            </w:rPr>
            <w:fldChar w:fldCharType="separate"/>
          </w:r>
          <w:r>
            <w:rPr>
              <w:rFonts w:hint="eastAsia" w:ascii="黑体" w:hAnsi="黑体" w:eastAsia="黑体" w:cs="黑体"/>
              <w:spacing w:val="7"/>
              <w:sz w:val="32"/>
              <w:szCs w:val="32"/>
              <w:lang w:val="en-US" w:eastAsia="zh-CN"/>
            </w:rPr>
            <w:t xml:space="preserve">第十一章 </w:t>
          </w:r>
          <w:r>
            <w:rPr>
              <w:rFonts w:hint="default" w:ascii="黑体" w:hAnsi="黑体" w:eastAsia="黑体" w:cs="黑体"/>
              <w:spacing w:val="7"/>
              <w:sz w:val="32"/>
              <w:szCs w:val="32"/>
              <w:lang w:val="en-US" w:eastAsia="zh-CN"/>
            </w:rPr>
            <w:t>规划实施保障</w:t>
          </w:r>
          <w:r>
            <w:rPr>
              <w:sz w:val="32"/>
              <w:szCs w:val="32"/>
            </w:rPr>
            <w:tab/>
          </w:r>
          <w:r>
            <w:rPr>
              <w:sz w:val="32"/>
              <w:szCs w:val="32"/>
            </w:rPr>
            <w:fldChar w:fldCharType="begin"/>
          </w:r>
          <w:r>
            <w:rPr>
              <w:sz w:val="32"/>
              <w:szCs w:val="32"/>
            </w:rPr>
            <w:instrText xml:space="preserve"> PAGEREF _Toc21077 \h </w:instrText>
          </w:r>
          <w:r>
            <w:rPr>
              <w:sz w:val="32"/>
              <w:szCs w:val="32"/>
            </w:rPr>
            <w:fldChar w:fldCharType="separate"/>
          </w:r>
          <w:r>
            <w:rPr>
              <w:sz w:val="32"/>
              <w:szCs w:val="32"/>
            </w:rPr>
            <w:t>- 34 -</w:t>
          </w:r>
          <w:r>
            <w:rPr>
              <w:sz w:val="32"/>
              <w:szCs w:val="32"/>
            </w:rPr>
            <w:fldChar w:fldCharType="end"/>
          </w:r>
          <w:r>
            <w:rPr>
              <w:sz w:val="32"/>
              <w:szCs w:val="32"/>
            </w:rPr>
            <w:fldChar w:fldCharType="end"/>
          </w:r>
        </w:p>
        <w:p w14:paraId="7B6B6B3B">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_Toc5557 </w:instrText>
          </w:r>
          <w:r>
            <w:rPr>
              <w:sz w:val="32"/>
              <w:szCs w:val="32"/>
            </w:rPr>
            <w:fldChar w:fldCharType="separate"/>
          </w:r>
          <w:r>
            <w:rPr>
              <w:rFonts w:hint="eastAsia" w:ascii="黑体" w:hAnsi="黑体" w:eastAsia="黑体" w:cs="黑体"/>
              <w:bCs w:val="0"/>
              <w:spacing w:val="2"/>
              <w:sz w:val="32"/>
              <w:szCs w:val="32"/>
              <w:lang w:val="en-US" w:eastAsia="zh-CN"/>
            </w:rPr>
            <w:t>一、</w:t>
          </w:r>
          <w:r>
            <w:rPr>
              <w:rFonts w:hint="default" w:ascii="黑体" w:hAnsi="黑体" w:eastAsia="黑体" w:cs="黑体"/>
              <w:bCs w:val="0"/>
              <w:spacing w:val="2"/>
              <w:sz w:val="32"/>
              <w:szCs w:val="32"/>
              <w:lang w:val="en-US" w:eastAsia="zh-CN"/>
            </w:rPr>
            <w:t>政策保障</w:t>
          </w:r>
          <w:r>
            <w:rPr>
              <w:sz w:val="32"/>
              <w:szCs w:val="32"/>
            </w:rPr>
            <w:tab/>
          </w:r>
          <w:r>
            <w:rPr>
              <w:sz w:val="32"/>
              <w:szCs w:val="32"/>
            </w:rPr>
            <w:fldChar w:fldCharType="begin"/>
          </w:r>
          <w:r>
            <w:rPr>
              <w:sz w:val="32"/>
              <w:szCs w:val="32"/>
            </w:rPr>
            <w:instrText xml:space="preserve"> PAGEREF _Toc5557 \h </w:instrText>
          </w:r>
          <w:r>
            <w:rPr>
              <w:sz w:val="32"/>
              <w:szCs w:val="32"/>
            </w:rPr>
            <w:fldChar w:fldCharType="separate"/>
          </w:r>
          <w:r>
            <w:rPr>
              <w:sz w:val="32"/>
              <w:szCs w:val="32"/>
            </w:rPr>
            <w:t>- 34 -</w:t>
          </w:r>
          <w:r>
            <w:rPr>
              <w:sz w:val="32"/>
              <w:szCs w:val="32"/>
            </w:rPr>
            <w:fldChar w:fldCharType="end"/>
          </w:r>
          <w:r>
            <w:rPr>
              <w:sz w:val="32"/>
              <w:szCs w:val="32"/>
            </w:rPr>
            <w:fldChar w:fldCharType="end"/>
          </w:r>
        </w:p>
        <w:p w14:paraId="42661C62">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_Toc23308 </w:instrText>
          </w:r>
          <w:r>
            <w:rPr>
              <w:sz w:val="32"/>
              <w:szCs w:val="32"/>
            </w:rPr>
            <w:fldChar w:fldCharType="separate"/>
          </w:r>
          <w:r>
            <w:rPr>
              <w:rFonts w:hint="eastAsia" w:ascii="楷体_GB2312" w:hAnsi="楷体_GB2312" w:eastAsia="楷体_GB2312" w:cs="楷体_GB2312"/>
              <w:bCs/>
              <w:spacing w:val="8"/>
              <w:sz w:val="32"/>
              <w:szCs w:val="32"/>
              <w:lang w:val="en-US" w:eastAsia="zh-CN"/>
            </w:rPr>
            <w:t>（一）</w:t>
          </w:r>
          <w:r>
            <w:rPr>
              <w:rFonts w:hint="default" w:ascii="楷体_GB2312" w:hAnsi="楷体_GB2312" w:eastAsia="楷体_GB2312" w:cs="楷体_GB2312"/>
              <w:bCs/>
              <w:spacing w:val="8"/>
              <w:sz w:val="32"/>
              <w:szCs w:val="32"/>
              <w:lang w:val="en-US" w:eastAsia="zh-CN"/>
            </w:rPr>
            <w:t>完善政策法规体系</w:t>
          </w:r>
          <w:r>
            <w:rPr>
              <w:sz w:val="32"/>
              <w:szCs w:val="32"/>
            </w:rPr>
            <w:tab/>
          </w:r>
          <w:r>
            <w:rPr>
              <w:sz w:val="32"/>
              <w:szCs w:val="32"/>
            </w:rPr>
            <w:fldChar w:fldCharType="begin"/>
          </w:r>
          <w:r>
            <w:rPr>
              <w:sz w:val="32"/>
              <w:szCs w:val="32"/>
            </w:rPr>
            <w:instrText xml:space="preserve"> PAGEREF _Toc23308 \h </w:instrText>
          </w:r>
          <w:r>
            <w:rPr>
              <w:sz w:val="32"/>
              <w:szCs w:val="32"/>
            </w:rPr>
            <w:fldChar w:fldCharType="separate"/>
          </w:r>
          <w:r>
            <w:rPr>
              <w:sz w:val="32"/>
              <w:szCs w:val="32"/>
            </w:rPr>
            <w:t>- 34 -</w:t>
          </w:r>
          <w:r>
            <w:rPr>
              <w:sz w:val="32"/>
              <w:szCs w:val="32"/>
            </w:rPr>
            <w:fldChar w:fldCharType="end"/>
          </w:r>
          <w:r>
            <w:rPr>
              <w:sz w:val="32"/>
              <w:szCs w:val="32"/>
            </w:rPr>
            <w:fldChar w:fldCharType="end"/>
          </w:r>
        </w:p>
        <w:p w14:paraId="3A1EECE0">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_Toc14805 </w:instrText>
          </w:r>
          <w:r>
            <w:rPr>
              <w:sz w:val="32"/>
              <w:szCs w:val="32"/>
            </w:rPr>
            <w:fldChar w:fldCharType="separate"/>
          </w:r>
          <w:r>
            <w:rPr>
              <w:rFonts w:hint="eastAsia" w:ascii="楷体_GB2312" w:hAnsi="楷体_GB2312" w:eastAsia="楷体_GB2312" w:cs="楷体_GB2312"/>
              <w:bCs/>
              <w:spacing w:val="8"/>
              <w:sz w:val="32"/>
              <w:szCs w:val="32"/>
              <w:lang w:val="en-US" w:eastAsia="zh-CN"/>
            </w:rPr>
            <w:t>（二）</w:t>
          </w:r>
          <w:r>
            <w:rPr>
              <w:rFonts w:hint="default" w:ascii="楷体_GB2312" w:hAnsi="楷体_GB2312" w:eastAsia="楷体_GB2312" w:cs="楷体_GB2312"/>
              <w:bCs/>
              <w:spacing w:val="8"/>
              <w:sz w:val="32"/>
              <w:szCs w:val="32"/>
              <w:lang w:val="en-US" w:eastAsia="zh-CN"/>
            </w:rPr>
            <w:t>强化日常监督考核</w:t>
          </w:r>
          <w:r>
            <w:rPr>
              <w:sz w:val="32"/>
              <w:szCs w:val="32"/>
            </w:rPr>
            <w:tab/>
          </w:r>
          <w:r>
            <w:rPr>
              <w:sz w:val="32"/>
              <w:szCs w:val="32"/>
            </w:rPr>
            <w:fldChar w:fldCharType="begin"/>
          </w:r>
          <w:r>
            <w:rPr>
              <w:sz w:val="32"/>
              <w:szCs w:val="32"/>
            </w:rPr>
            <w:instrText xml:space="preserve"> PAGEREF _Toc14805 \h </w:instrText>
          </w:r>
          <w:r>
            <w:rPr>
              <w:sz w:val="32"/>
              <w:szCs w:val="32"/>
            </w:rPr>
            <w:fldChar w:fldCharType="separate"/>
          </w:r>
          <w:r>
            <w:rPr>
              <w:sz w:val="32"/>
              <w:szCs w:val="32"/>
            </w:rPr>
            <w:t>- 34 -</w:t>
          </w:r>
          <w:r>
            <w:rPr>
              <w:sz w:val="32"/>
              <w:szCs w:val="32"/>
            </w:rPr>
            <w:fldChar w:fldCharType="end"/>
          </w:r>
          <w:r>
            <w:rPr>
              <w:sz w:val="32"/>
              <w:szCs w:val="32"/>
            </w:rPr>
            <w:fldChar w:fldCharType="end"/>
          </w:r>
        </w:p>
        <w:p w14:paraId="299C16E2">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_Toc14715 </w:instrText>
          </w:r>
          <w:r>
            <w:rPr>
              <w:sz w:val="32"/>
              <w:szCs w:val="32"/>
            </w:rPr>
            <w:fldChar w:fldCharType="separate"/>
          </w:r>
          <w:r>
            <w:rPr>
              <w:rFonts w:hint="eastAsia" w:ascii="楷体_GB2312" w:hAnsi="楷体_GB2312" w:eastAsia="楷体_GB2312" w:cs="楷体_GB2312"/>
              <w:bCs/>
              <w:spacing w:val="8"/>
              <w:sz w:val="32"/>
              <w:szCs w:val="32"/>
              <w:lang w:val="en-US" w:eastAsia="zh-CN"/>
            </w:rPr>
            <w:t>（三）</w:t>
          </w:r>
          <w:r>
            <w:rPr>
              <w:rFonts w:hint="default" w:ascii="楷体_GB2312" w:hAnsi="楷体_GB2312" w:eastAsia="楷体_GB2312" w:cs="楷体_GB2312"/>
              <w:bCs/>
              <w:spacing w:val="8"/>
              <w:sz w:val="32"/>
              <w:szCs w:val="32"/>
              <w:lang w:val="en-US" w:eastAsia="zh-CN"/>
            </w:rPr>
            <w:t>营造良好发展环境</w:t>
          </w:r>
          <w:r>
            <w:rPr>
              <w:sz w:val="32"/>
              <w:szCs w:val="32"/>
            </w:rPr>
            <w:tab/>
          </w:r>
          <w:r>
            <w:rPr>
              <w:sz w:val="32"/>
              <w:szCs w:val="32"/>
            </w:rPr>
            <w:fldChar w:fldCharType="begin"/>
          </w:r>
          <w:r>
            <w:rPr>
              <w:sz w:val="32"/>
              <w:szCs w:val="32"/>
            </w:rPr>
            <w:instrText xml:space="preserve"> PAGEREF _Toc14715 \h </w:instrText>
          </w:r>
          <w:r>
            <w:rPr>
              <w:sz w:val="32"/>
              <w:szCs w:val="32"/>
            </w:rPr>
            <w:fldChar w:fldCharType="separate"/>
          </w:r>
          <w:r>
            <w:rPr>
              <w:sz w:val="32"/>
              <w:szCs w:val="32"/>
            </w:rPr>
            <w:t>- 34 -</w:t>
          </w:r>
          <w:r>
            <w:rPr>
              <w:sz w:val="32"/>
              <w:szCs w:val="32"/>
            </w:rPr>
            <w:fldChar w:fldCharType="end"/>
          </w:r>
          <w:r>
            <w:rPr>
              <w:sz w:val="32"/>
              <w:szCs w:val="32"/>
            </w:rPr>
            <w:fldChar w:fldCharType="end"/>
          </w:r>
        </w:p>
        <w:p w14:paraId="331A48BB">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_Toc11572 </w:instrText>
          </w:r>
          <w:r>
            <w:rPr>
              <w:sz w:val="32"/>
              <w:szCs w:val="32"/>
            </w:rPr>
            <w:fldChar w:fldCharType="separate"/>
          </w:r>
          <w:r>
            <w:rPr>
              <w:rFonts w:hint="eastAsia" w:ascii="黑体" w:hAnsi="黑体" w:eastAsia="黑体" w:cs="黑体"/>
              <w:bCs w:val="0"/>
              <w:spacing w:val="2"/>
              <w:sz w:val="32"/>
              <w:szCs w:val="32"/>
              <w:lang w:val="en-US" w:eastAsia="zh-CN"/>
            </w:rPr>
            <w:t>二、</w:t>
          </w:r>
          <w:r>
            <w:rPr>
              <w:rFonts w:hint="default" w:ascii="黑体" w:hAnsi="黑体" w:eastAsia="黑体" w:cs="黑体"/>
              <w:bCs w:val="0"/>
              <w:spacing w:val="2"/>
              <w:sz w:val="32"/>
              <w:szCs w:val="32"/>
              <w:lang w:val="en-US" w:eastAsia="zh-CN"/>
            </w:rPr>
            <w:t>组织保障</w:t>
          </w:r>
          <w:r>
            <w:rPr>
              <w:sz w:val="32"/>
              <w:szCs w:val="32"/>
            </w:rPr>
            <w:tab/>
          </w:r>
          <w:r>
            <w:rPr>
              <w:sz w:val="32"/>
              <w:szCs w:val="32"/>
            </w:rPr>
            <w:fldChar w:fldCharType="begin"/>
          </w:r>
          <w:r>
            <w:rPr>
              <w:sz w:val="32"/>
              <w:szCs w:val="32"/>
            </w:rPr>
            <w:instrText xml:space="preserve"> PAGEREF _Toc11572 \h </w:instrText>
          </w:r>
          <w:r>
            <w:rPr>
              <w:sz w:val="32"/>
              <w:szCs w:val="32"/>
            </w:rPr>
            <w:fldChar w:fldCharType="separate"/>
          </w:r>
          <w:r>
            <w:rPr>
              <w:sz w:val="32"/>
              <w:szCs w:val="32"/>
            </w:rPr>
            <w:t>- 34 -</w:t>
          </w:r>
          <w:r>
            <w:rPr>
              <w:sz w:val="32"/>
              <w:szCs w:val="32"/>
            </w:rPr>
            <w:fldChar w:fldCharType="end"/>
          </w:r>
          <w:r>
            <w:rPr>
              <w:sz w:val="32"/>
              <w:szCs w:val="32"/>
            </w:rPr>
            <w:fldChar w:fldCharType="end"/>
          </w:r>
        </w:p>
        <w:p w14:paraId="3BA379A8">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_Toc26107 </w:instrText>
          </w:r>
          <w:r>
            <w:rPr>
              <w:sz w:val="32"/>
              <w:szCs w:val="32"/>
            </w:rPr>
            <w:fldChar w:fldCharType="separate"/>
          </w:r>
          <w:r>
            <w:rPr>
              <w:rFonts w:hint="eastAsia" w:ascii="黑体" w:hAnsi="黑体" w:eastAsia="黑体" w:cs="黑体"/>
              <w:bCs w:val="0"/>
              <w:spacing w:val="2"/>
              <w:sz w:val="32"/>
              <w:szCs w:val="32"/>
              <w:lang w:val="en-US" w:eastAsia="zh-CN"/>
            </w:rPr>
            <w:t>三、</w:t>
          </w:r>
          <w:r>
            <w:rPr>
              <w:rFonts w:hint="default" w:ascii="黑体" w:hAnsi="黑体" w:eastAsia="黑体" w:cs="黑体"/>
              <w:bCs w:val="0"/>
              <w:spacing w:val="2"/>
              <w:sz w:val="32"/>
              <w:szCs w:val="32"/>
              <w:lang w:val="en-US" w:eastAsia="zh-CN"/>
            </w:rPr>
            <w:t>资金保障</w:t>
          </w:r>
          <w:r>
            <w:rPr>
              <w:sz w:val="32"/>
              <w:szCs w:val="32"/>
            </w:rPr>
            <w:tab/>
          </w:r>
          <w:r>
            <w:rPr>
              <w:sz w:val="32"/>
              <w:szCs w:val="32"/>
            </w:rPr>
            <w:fldChar w:fldCharType="begin"/>
          </w:r>
          <w:r>
            <w:rPr>
              <w:sz w:val="32"/>
              <w:szCs w:val="32"/>
            </w:rPr>
            <w:instrText xml:space="preserve"> PAGEREF _Toc26107 \h </w:instrText>
          </w:r>
          <w:r>
            <w:rPr>
              <w:sz w:val="32"/>
              <w:szCs w:val="32"/>
            </w:rPr>
            <w:fldChar w:fldCharType="separate"/>
          </w:r>
          <w:r>
            <w:rPr>
              <w:sz w:val="32"/>
              <w:szCs w:val="32"/>
            </w:rPr>
            <w:t>- 34 -</w:t>
          </w:r>
          <w:r>
            <w:rPr>
              <w:sz w:val="32"/>
              <w:szCs w:val="32"/>
            </w:rPr>
            <w:fldChar w:fldCharType="end"/>
          </w:r>
          <w:r>
            <w:rPr>
              <w:sz w:val="32"/>
              <w:szCs w:val="32"/>
            </w:rPr>
            <w:fldChar w:fldCharType="end"/>
          </w:r>
        </w:p>
        <w:p w14:paraId="527D3638">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_Toc31746 </w:instrText>
          </w:r>
          <w:r>
            <w:rPr>
              <w:sz w:val="32"/>
              <w:szCs w:val="32"/>
            </w:rPr>
            <w:fldChar w:fldCharType="separate"/>
          </w:r>
          <w:r>
            <w:rPr>
              <w:rFonts w:hint="eastAsia" w:ascii="楷体_GB2312" w:hAnsi="楷体_GB2312" w:eastAsia="楷体_GB2312" w:cs="楷体_GB2312"/>
              <w:bCs/>
              <w:spacing w:val="8"/>
              <w:sz w:val="32"/>
              <w:szCs w:val="32"/>
              <w:lang w:val="en-US" w:eastAsia="zh-CN"/>
            </w:rPr>
            <w:t>（一）</w:t>
          </w:r>
          <w:r>
            <w:rPr>
              <w:rFonts w:hint="default" w:ascii="楷体_GB2312" w:hAnsi="楷体_GB2312" w:eastAsia="楷体_GB2312" w:cs="楷体_GB2312"/>
              <w:bCs/>
              <w:spacing w:val="8"/>
              <w:sz w:val="32"/>
              <w:szCs w:val="32"/>
              <w:lang w:val="en-US" w:eastAsia="zh-CN"/>
            </w:rPr>
            <w:t>统筹安排资金的来源和分配</w:t>
          </w:r>
          <w:r>
            <w:rPr>
              <w:sz w:val="32"/>
              <w:szCs w:val="32"/>
            </w:rPr>
            <w:tab/>
          </w:r>
          <w:r>
            <w:rPr>
              <w:sz w:val="32"/>
              <w:szCs w:val="32"/>
            </w:rPr>
            <w:fldChar w:fldCharType="begin"/>
          </w:r>
          <w:r>
            <w:rPr>
              <w:sz w:val="32"/>
              <w:szCs w:val="32"/>
            </w:rPr>
            <w:instrText xml:space="preserve"> PAGEREF _Toc31746 \h </w:instrText>
          </w:r>
          <w:r>
            <w:rPr>
              <w:sz w:val="32"/>
              <w:szCs w:val="32"/>
            </w:rPr>
            <w:fldChar w:fldCharType="separate"/>
          </w:r>
          <w:r>
            <w:rPr>
              <w:sz w:val="32"/>
              <w:szCs w:val="32"/>
            </w:rPr>
            <w:t>- 34 -</w:t>
          </w:r>
          <w:r>
            <w:rPr>
              <w:sz w:val="32"/>
              <w:szCs w:val="32"/>
            </w:rPr>
            <w:fldChar w:fldCharType="end"/>
          </w:r>
          <w:r>
            <w:rPr>
              <w:sz w:val="32"/>
              <w:szCs w:val="32"/>
            </w:rPr>
            <w:fldChar w:fldCharType="end"/>
          </w:r>
        </w:p>
        <w:p w14:paraId="2E63D4CA">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_Toc17479 </w:instrText>
          </w:r>
          <w:r>
            <w:rPr>
              <w:sz w:val="32"/>
              <w:szCs w:val="32"/>
            </w:rPr>
            <w:fldChar w:fldCharType="separate"/>
          </w:r>
          <w:r>
            <w:rPr>
              <w:rFonts w:hint="eastAsia" w:ascii="楷体_GB2312" w:hAnsi="楷体_GB2312" w:eastAsia="楷体_GB2312" w:cs="楷体_GB2312"/>
              <w:bCs/>
              <w:spacing w:val="8"/>
              <w:sz w:val="32"/>
              <w:szCs w:val="32"/>
              <w:lang w:val="en-US" w:eastAsia="zh-CN"/>
            </w:rPr>
            <w:t>（二）</w:t>
          </w:r>
          <w:r>
            <w:rPr>
              <w:rFonts w:hint="default" w:ascii="楷体_GB2312" w:hAnsi="楷体_GB2312" w:eastAsia="楷体_GB2312" w:cs="楷体_GB2312"/>
              <w:bCs/>
              <w:spacing w:val="8"/>
              <w:sz w:val="32"/>
              <w:szCs w:val="32"/>
              <w:lang w:val="en-US" w:eastAsia="zh-CN"/>
            </w:rPr>
            <w:t>纳入本级政府年度财政预算</w:t>
          </w:r>
          <w:r>
            <w:rPr>
              <w:sz w:val="32"/>
              <w:szCs w:val="32"/>
            </w:rPr>
            <w:tab/>
          </w:r>
          <w:r>
            <w:rPr>
              <w:sz w:val="32"/>
              <w:szCs w:val="32"/>
            </w:rPr>
            <w:fldChar w:fldCharType="begin"/>
          </w:r>
          <w:r>
            <w:rPr>
              <w:sz w:val="32"/>
              <w:szCs w:val="32"/>
            </w:rPr>
            <w:instrText xml:space="preserve"> PAGEREF _Toc17479 \h </w:instrText>
          </w:r>
          <w:r>
            <w:rPr>
              <w:sz w:val="32"/>
              <w:szCs w:val="32"/>
            </w:rPr>
            <w:fldChar w:fldCharType="separate"/>
          </w:r>
          <w:r>
            <w:rPr>
              <w:sz w:val="32"/>
              <w:szCs w:val="32"/>
            </w:rPr>
            <w:t>- 35 -</w:t>
          </w:r>
          <w:r>
            <w:rPr>
              <w:sz w:val="32"/>
              <w:szCs w:val="32"/>
            </w:rPr>
            <w:fldChar w:fldCharType="end"/>
          </w:r>
          <w:r>
            <w:rPr>
              <w:sz w:val="32"/>
              <w:szCs w:val="32"/>
            </w:rPr>
            <w:fldChar w:fldCharType="end"/>
          </w:r>
        </w:p>
        <w:p w14:paraId="63B85512">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_Toc10774 </w:instrText>
          </w:r>
          <w:r>
            <w:rPr>
              <w:sz w:val="32"/>
              <w:szCs w:val="32"/>
            </w:rPr>
            <w:fldChar w:fldCharType="separate"/>
          </w:r>
          <w:r>
            <w:rPr>
              <w:rFonts w:hint="eastAsia" w:ascii="楷体_GB2312" w:hAnsi="楷体_GB2312" w:eastAsia="楷体_GB2312" w:cs="楷体_GB2312"/>
              <w:bCs/>
              <w:spacing w:val="8"/>
              <w:sz w:val="32"/>
              <w:szCs w:val="32"/>
              <w:lang w:val="en-US" w:eastAsia="zh-CN"/>
            </w:rPr>
            <w:t>（三）</w:t>
          </w:r>
          <w:r>
            <w:rPr>
              <w:rFonts w:hint="default" w:ascii="楷体_GB2312" w:hAnsi="楷体_GB2312" w:eastAsia="楷体_GB2312" w:cs="楷体_GB2312"/>
              <w:bCs/>
              <w:spacing w:val="8"/>
              <w:sz w:val="32"/>
              <w:szCs w:val="32"/>
              <w:lang w:val="en-US" w:eastAsia="zh-CN"/>
            </w:rPr>
            <w:t>市场化运营机制拓展资金来源</w:t>
          </w:r>
          <w:r>
            <w:rPr>
              <w:sz w:val="32"/>
              <w:szCs w:val="32"/>
            </w:rPr>
            <w:tab/>
          </w:r>
          <w:r>
            <w:rPr>
              <w:sz w:val="32"/>
              <w:szCs w:val="32"/>
            </w:rPr>
            <w:fldChar w:fldCharType="begin"/>
          </w:r>
          <w:r>
            <w:rPr>
              <w:sz w:val="32"/>
              <w:szCs w:val="32"/>
            </w:rPr>
            <w:instrText xml:space="preserve"> PAGEREF _Toc10774 \h </w:instrText>
          </w:r>
          <w:r>
            <w:rPr>
              <w:sz w:val="32"/>
              <w:szCs w:val="32"/>
            </w:rPr>
            <w:fldChar w:fldCharType="separate"/>
          </w:r>
          <w:r>
            <w:rPr>
              <w:sz w:val="32"/>
              <w:szCs w:val="32"/>
            </w:rPr>
            <w:t>- 35 -</w:t>
          </w:r>
          <w:r>
            <w:rPr>
              <w:sz w:val="32"/>
              <w:szCs w:val="32"/>
            </w:rPr>
            <w:fldChar w:fldCharType="end"/>
          </w:r>
          <w:r>
            <w:rPr>
              <w:sz w:val="32"/>
              <w:szCs w:val="32"/>
            </w:rPr>
            <w:fldChar w:fldCharType="end"/>
          </w:r>
        </w:p>
        <w:p w14:paraId="18B8DC01">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_Toc25538 </w:instrText>
          </w:r>
          <w:r>
            <w:rPr>
              <w:sz w:val="32"/>
              <w:szCs w:val="32"/>
            </w:rPr>
            <w:fldChar w:fldCharType="separate"/>
          </w:r>
          <w:r>
            <w:rPr>
              <w:rFonts w:hint="eastAsia" w:ascii="黑体" w:hAnsi="黑体" w:eastAsia="黑体" w:cs="黑体"/>
              <w:bCs w:val="0"/>
              <w:spacing w:val="2"/>
              <w:sz w:val="32"/>
              <w:szCs w:val="32"/>
              <w:lang w:val="en-US" w:eastAsia="zh-CN"/>
            </w:rPr>
            <w:t>四、</w:t>
          </w:r>
          <w:r>
            <w:rPr>
              <w:rFonts w:hint="default" w:ascii="黑体" w:hAnsi="黑体" w:eastAsia="黑体" w:cs="黑体"/>
              <w:bCs w:val="0"/>
              <w:spacing w:val="2"/>
              <w:sz w:val="32"/>
              <w:szCs w:val="32"/>
              <w:lang w:val="en-US" w:eastAsia="zh-CN"/>
            </w:rPr>
            <w:t>土地保障</w:t>
          </w:r>
          <w:r>
            <w:rPr>
              <w:sz w:val="32"/>
              <w:szCs w:val="32"/>
            </w:rPr>
            <w:tab/>
          </w:r>
          <w:r>
            <w:rPr>
              <w:sz w:val="32"/>
              <w:szCs w:val="32"/>
            </w:rPr>
            <w:fldChar w:fldCharType="begin"/>
          </w:r>
          <w:r>
            <w:rPr>
              <w:sz w:val="32"/>
              <w:szCs w:val="32"/>
            </w:rPr>
            <w:instrText xml:space="preserve"> PAGEREF _Toc25538 \h </w:instrText>
          </w:r>
          <w:r>
            <w:rPr>
              <w:sz w:val="32"/>
              <w:szCs w:val="32"/>
            </w:rPr>
            <w:fldChar w:fldCharType="separate"/>
          </w:r>
          <w:r>
            <w:rPr>
              <w:sz w:val="32"/>
              <w:szCs w:val="32"/>
            </w:rPr>
            <w:t>- 35 -</w:t>
          </w:r>
          <w:r>
            <w:rPr>
              <w:sz w:val="32"/>
              <w:szCs w:val="32"/>
            </w:rPr>
            <w:fldChar w:fldCharType="end"/>
          </w:r>
          <w:r>
            <w:rPr>
              <w:sz w:val="32"/>
              <w:szCs w:val="32"/>
            </w:rPr>
            <w:fldChar w:fldCharType="end"/>
          </w:r>
        </w:p>
        <w:p w14:paraId="300E0847">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r>
            <w:rPr>
              <w:sz w:val="32"/>
              <w:szCs w:val="32"/>
            </w:rPr>
            <w:fldChar w:fldCharType="begin"/>
          </w:r>
          <w:r>
            <w:rPr>
              <w:sz w:val="32"/>
              <w:szCs w:val="32"/>
            </w:rPr>
            <w:instrText xml:space="preserve"> HYPERLINK \l _Toc16547 </w:instrText>
          </w:r>
          <w:r>
            <w:rPr>
              <w:sz w:val="32"/>
              <w:szCs w:val="32"/>
            </w:rPr>
            <w:fldChar w:fldCharType="separate"/>
          </w:r>
          <w:r>
            <w:rPr>
              <w:rFonts w:hint="eastAsia" w:ascii="黑体" w:hAnsi="黑体" w:eastAsia="黑体" w:cs="黑体"/>
              <w:bCs w:val="0"/>
              <w:spacing w:val="2"/>
              <w:sz w:val="32"/>
              <w:szCs w:val="32"/>
              <w:lang w:val="en-US" w:eastAsia="zh-CN"/>
            </w:rPr>
            <w:t>五、</w:t>
          </w:r>
          <w:r>
            <w:rPr>
              <w:rFonts w:hint="default" w:ascii="黑体" w:hAnsi="黑体" w:eastAsia="黑体" w:cs="黑体"/>
              <w:bCs w:val="0"/>
              <w:spacing w:val="2"/>
              <w:sz w:val="32"/>
              <w:szCs w:val="32"/>
              <w:lang w:val="en-US" w:eastAsia="zh-CN"/>
            </w:rPr>
            <w:t>技术保障</w:t>
          </w:r>
          <w:r>
            <w:rPr>
              <w:sz w:val="32"/>
              <w:szCs w:val="32"/>
            </w:rPr>
            <w:tab/>
          </w:r>
          <w:r>
            <w:rPr>
              <w:sz w:val="32"/>
              <w:szCs w:val="32"/>
            </w:rPr>
            <w:fldChar w:fldCharType="begin"/>
          </w:r>
          <w:r>
            <w:rPr>
              <w:sz w:val="32"/>
              <w:szCs w:val="32"/>
            </w:rPr>
            <w:instrText xml:space="preserve"> PAGEREF _Toc16547 \h </w:instrText>
          </w:r>
          <w:r>
            <w:rPr>
              <w:sz w:val="32"/>
              <w:szCs w:val="32"/>
            </w:rPr>
            <w:fldChar w:fldCharType="separate"/>
          </w:r>
          <w:r>
            <w:rPr>
              <w:sz w:val="32"/>
              <w:szCs w:val="32"/>
            </w:rPr>
            <w:t>- 35 -</w:t>
          </w:r>
          <w:r>
            <w:rPr>
              <w:sz w:val="32"/>
              <w:szCs w:val="32"/>
            </w:rPr>
            <w:fldChar w:fldCharType="end"/>
          </w:r>
          <w:r>
            <w:rPr>
              <w:sz w:val="32"/>
              <w:szCs w:val="32"/>
            </w:rPr>
            <w:fldChar w:fldCharType="end"/>
          </w:r>
        </w:p>
        <w:p w14:paraId="7F152A37">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_Toc27331 </w:instrText>
          </w:r>
          <w:r>
            <w:rPr>
              <w:sz w:val="32"/>
              <w:szCs w:val="32"/>
            </w:rPr>
            <w:fldChar w:fldCharType="separate"/>
          </w:r>
          <w:r>
            <w:rPr>
              <w:rFonts w:hint="eastAsia" w:ascii="楷体_GB2312" w:hAnsi="楷体_GB2312" w:eastAsia="楷体_GB2312" w:cs="楷体_GB2312"/>
              <w:bCs/>
              <w:spacing w:val="8"/>
              <w:sz w:val="32"/>
              <w:szCs w:val="32"/>
              <w:lang w:val="en-US" w:eastAsia="zh-CN"/>
            </w:rPr>
            <w:t>（一）</w:t>
          </w:r>
          <w:r>
            <w:rPr>
              <w:rFonts w:hint="default" w:ascii="楷体_GB2312" w:hAnsi="楷体_GB2312" w:eastAsia="楷体_GB2312" w:cs="楷体_GB2312"/>
              <w:bCs/>
              <w:spacing w:val="8"/>
              <w:sz w:val="32"/>
              <w:szCs w:val="32"/>
              <w:lang w:val="en-US" w:eastAsia="zh-CN"/>
            </w:rPr>
            <w:t>推进建筑垃圾治理数字化</w:t>
          </w:r>
          <w:r>
            <w:rPr>
              <w:sz w:val="32"/>
              <w:szCs w:val="32"/>
            </w:rPr>
            <w:tab/>
          </w:r>
          <w:r>
            <w:rPr>
              <w:sz w:val="32"/>
              <w:szCs w:val="32"/>
            </w:rPr>
            <w:fldChar w:fldCharType="begin"/>
          </w:r>
          <w:r>
            <w:rPr>
              <w:sz w:val="32"/>
              <w:szCs w:val="32"/>
            </w:rPr>
            <w:instrText xml:space="preserve"> PAGEREF _Toc27331 \h </w:instrText>
          </w:r>
          <w:r>
            <w:rPr>
              <w:sz w:val="32"/>
              <w:szCs w:val="32"/>
            </w:rPr>
            <w:fldChar w:fldCharType="separate"/>
          </w:r>
          <w:r>
            <w:rPr>
              <w:sz w:val="32"/>
              <w:szCs w:val="32"/>
            </w:rPr>
            <w:t>- 35 -</w:t>
          </w:r>
          <w:r>
            <w:rPr>
              <w:sz w:val="32"/>
              <w:szCs w:val="32"/>
            </w:rPr>
            <w:fldChar w:fldCharType="end"/>
          </w:r>
          <w:r>
            <w:rPr>
              <w:sz w:val="32"/>
              <w:szCs w:val="32"/>
            </w:rPr>
            <w:fldChar w:fldCharType="end"/>
          </w:r>
        </w:p>
        <w:p w14:paraId="4AAF796A">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_Toc20175 </w:instrText>
          </w:r>
          <w:r>
            <w:rPr>
              <w:sz w:val="32"/>
              <w:szCs w:val="32"/>
            </w:rPr>
            <w:fldChar w:fldCharType="separate"/>
          </w:r>
          <w:r>
            <w:rPr>
              <w:rFonts w:hint="eastAsia" w:ascii="楷体_GB2312" w:hAnsi="楷体_GB2312" w:eastAsia="楷体_GB2312" w:cs="楷体_GB2312"/>
              <w:bCs/>
              <w:spacing w:val="8"/>
              <w:sz w:val="32"/>
              <w:szCs w:val="32"/>
              <w:lang w:val="en-US" w:eastAsia="zh-CN"/>
            </w:rPr>
            <w:t>（二）</w:t>
          </w:r>
          <w:r>
            <w:rPr>
              <w:rFonts w:hint="default" w:ascii="楷体_GB2312" w:hAnsi="楷体_GB2312" w:eastAsia="楷体_GB2312" w:cs="楷体_GB2312"/>
              <w:bCs/>
              <w:spacing w:val="8"/>
              <w:sz w:val="32"/>
              <w:szCs w:val="32"/>
              <w:lang w:val="en-US" w:eastAsia="zh-CN"/>
            </w:rPr>
            <w:t>提升从业人员专业化水平</w:t>
          </w:r>
          <w:r>
            <w:rPr>
              <w:sz w:val="32"/>
              <w:szCs w:val="32"/>
            </w:rPr>
            <w:tab/>
          </w:r>
          <w:r>
            <w:rPr>
              <w:sz w:val="32"/>
              <w:szCs w:val="32"/>
            </w:rPr>
            <w:fldChar w:fldCharType="begin"/>
          </w:r>
          <w:r>
            <w:rPr>
              <w:sz w:val="32"/>
              <w:szCs w:val="32"/>
            </w:rPr>
            <w:instrText xml:space="preserve"> PAGEREF _Toc20175 \h </w:instrText>
          </w:r>
          <w:r>
            <w:rPr>
              <w:sz w:val="32"/>
              <w:szCs w:val="32"/>
            </w:rPr>
            <w:fldChar w:fldCharType="separate"/>
          </w:r>
          <w:r>
            <w:rPr>
              <w:sz w:val="32"/>
              <w:szCs w:val="32"/>
            </w:rPr>
            <w:t>- 35 -</w:t>
          </w:r>
          <w:r>
            <w:rPr>
              <w:sz w:val="32"/>
              <w:szCs w:val="32"/>
            </w:rPr>
            <w:fldChar w:fldCharType="end"/>
          </w:r>
          <w:r>
            <w:rPr>
              <w:sz w:val="32"/>
              <w:szCs w:val="32"/>
            </w:rPr>
            <w:fldChar w:fldCharType="end"/>
          </w:r>
        </w:p>
        <w:p w14:paraId="60F9CE2E">
          <w:pPr>
            <w:pStyle w:val="8"/>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_Toc7145 </w:instrText>
          </w:r>
          <w:r>
            <w:rPr>
              <w:sz w:val="32"/>
              <w:szCs w:val="32"/>
            </w:rPr>
            <w:fldChar w:fldCharType="separate"/>
          </w:r>
          <w:r>
            <w:rPr>
              <w:rFonts w:hint="eastAsia" w:ascii="楷体_GB2312" w:hAnsi="楷体_GB2312" w:eastAsia="楷体_GB2312" w:cs="楷体_GB2312"/>
              <w:bCs/>
              <w:spacing w:val="8"/>
              <w:sz w:val="32"/>
              <w:szCs w:val="32"/>
              <w:lang w:val="en-US" w:eastAsia="zh-CN"/>
            </w:rPr>
            <w:t>（三）</w:t>
          </w:r>
          <w:r>
            <w:rPr>
              <w:rFonts w:hint="default" w:ascii="楷体_GB2312" w:hAnsi="楷体_GB2312" w:eastAsia="楷体_GB2312" w:cs="楷体_GB2312"/>
              <w:bCs/>
              <w:spacing w:val="8"/>
              <w:sz w:val="32"/>
              <w:szCs w:val="32"/>
              <w:lang w:val="en-US" w:eastAsia="zh-CN"/>
            </w:rPr>
            <w:t>强化科技支撑与标准化管理</w:t>
          </w:r>
          <w:r>
            <w:rPr>
              <w:sz w:val="32"/>
              <w:szCs w:val="32"/>
            </w:rPr>
            <w:tab/>
          </w:r>
          <w:r>
            <w:rPr>
              <w:sz w:val="32"/>
              <w:szCs w:val="32"/>
            </w:rPr>
            <w:fldChar w:fldCharType="begin"/>
          </w:r>
          <w:r>
            <w:rPr>
              <w:sz w:val="32"/>
              <w:szCs w:val="32"/>
            </w:rPr>
            <w:instrText xml:space="preserve"> PAGEREF _Toc7145 \h </w:instrText>
          </w:r>
          <w:r>
            <w:rPr>
              <w:sz w:val="32"/>
              <w:szCs w:val="32"/>
            </w:rPr>
            <w:fldChar w:fldCharType="separate"/>
          </w:r>
          <w:r>
            <w:rPr>
              <w:sz w:val="32"/>
              <w:szCs w:val="32"/>
            </w:rPr>
            <w:t>- 35 -</w:t>
          </w:r>
          <w:r>
            <w:rPr>
              <w:sz w:val="32"/>
              <w:szCs w:val="32"/>
            </w:rPr>
            <w:fldChar w:fldCharType="end"/>
          </w:r>
          <w:r>
            <w:rPr>
              <w:sz w:val="32"/>
              <w:szCs w:val="32"/>
            </w:rPr>
            <w:fldChar w:fldCharType="end"/>
          </w:r>
        </w:p>
        <w:p w14:paraId="57605C45">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ind w:firstLine="320" w:firstLineChars="100"/>
            <w:textAlignment w:val="baseline"/>
            <w:rPr>
              <w:sz w:val="32"/>
              <w:szCs w:val="32"/>
            </w:rPr>
          </w:pPr>
        </w:p>
        <w:p w14:paraId="513CB80B">
          <w:pPr>
            <w:pStyle w:val="7"/>
            <w:keepNext w:val="0"/>
            <w:keepLines w:val="0"/>
            <w:pageBreakBefore w:val="0"/>
            <w:widowControl/>
            <w:tabs>
              <w:tab w:val="right" w:leader="dot" w:pos="9412"/>
            </w:tabs>
            <w:kinsoku w:val="0"/>
            <w:wordWrap/>
            <w:overflowPunct/>
            <w:topLinePunct w:val="0"/>
            <w:autoSpaceDE w:val="0"/>
            <w:autoSpaceDN w:val="0"/>
            <w:bidi w:val="0"/>
            <w:adjustRightInd w:val="0"/>
            <w:snapToGrid w:val="0"/>
            <w:spacing w:line="400" w:lineRule="exact"/>
            <w:textAlignment w:val="baseline"/>
            <w:rPr>
              <w:sz w:val="32"/>
              <w:szCs w:val="32"/>
            </w:rPr>
          </w:pPr>
          <w:r>
            <w:rPr>
              <w:sz w:val="32"/>
              <w:szCs w:val="32"/>
            </w:rPr>
            <w:fldChar w:fldCharType="begin"/>
          </w:r>
          <w:r>
            <w:rPr>
              <w:sz w:val="32"/>
              <w:szCs w:val="32"/>
            </w:rPr>
            <w:instrText xml:space="preserve"> HYPERLINK \l _Toc13094 </w:instrText>
          </w:r>
          <w:r>
            <w:rPr>
              <w:sz w:val="32"/>
              <w:szCs w:val="32"/>
            </w:rPr>
            <w:fldChar w:fldCharType="separate"/>
          </w:r>
          <w:r>
            <w:rPr>
              <w:rFonts w:hint="eastAsia" w:ascii="黑体" w:hAnsi="黑体" w:eastAsia="黑体" w:cs="黑体"/>
              <w:spacing w:val="7"/>
              <w:sz w:val="32"/>
              <w:szCs w:val="32"/>
              <w:lang w:val="en-US" w:eastAsia="zh-CN"/>
            </w:rPr>
            <w:t>附图</w:t>
          </w:r>
          <w:r>
            <w:rPr>
              <w:sz w:val="32"/>
              <w:szCs w:val="32"/>
            </w:rPr>
            <w:tab/>
          </w:r>
          <w:r>
            <w:rPr>
              <w:sz w:val="32"/>
              <w:szCs w:val="32"/>
            </w:rPr>
            <w:fldChar w:fldCharType="begin"/>
          </w:r>
          <w:r>
            <w:rPr>
              <w:sz w:val="32"/>
              <w:szCs w:val="32"/>
            </w:rPr>
            <w:instrText xml:space="preserve"> PAGEREF _Toc13094 \h </w:instrText>
          </w:r>
          <w:r>
            <w:rPr>
              <w:sz w:val="32"/>
              <w:szCs w:val="32"/>
            </w:rPr>
            <w:fldChar w:fldCharType="separate"/>
          </w:r>
          <w:r>
            <w:rPr>
              <w:sz w:val="32"/>
              <w:szCs w:val="32"/>
            </w:rPr>
            <w:t>- 37 -</w:t>
          </w:r>
          <w:r>
            <w:rPr>
              <w:sz w:val="32"/>
              <w:szCs w:val="32"/>
            </w:rPr>
            <w:fldChar w:fldCharType="end"/>
          </w:r>
          <w:r>
            <w:rPr>
              <w:sz w:val="32"/>
              <w:szCs w:val="32"/>
            </w:rPr>
            <w:fldChar w:fldCharType="end"/>
          </w:r>
        </w:p>
        <w:p w14:paraId="59BF4310">
          <w:pPr>
            <w:keepNext w:val="0"/>
            <w:keepLines w:val="0"/>
            <w:pageBreakBefore w:val="0"/>
            <w:widowControl/>
            <w:kinsoku w:val="0"/>
            <w:wordWrap/>
            <w:overflowPunct/>
            <w:topLinePunct w:val="0"/>
            <w:autoSpaceDE w:val="0"/>
            <w:autoSpaceDN w:val="0"/>
            <w:bidi w:val="0"/>
            <w:adjustRightInd w:val="0"/>
            <w:snapToGrid w:val="0"/>
            <w:spacing w:line="400" w:lineRule="exact"/>
            <w:textAlignment w:val="baseline"/>
            <w:rPr>
              <w:rFonts w:ascii="Arial" w:hAnsi="Arial" w:eastAsia="Arial" w:cs="Arial"/>
              <w:snapToGrid w:val="0"/>
              <w:color w:val="auto"/>
              <w:kern w:val="0"/>
              <w:sz w:val="22"/>
              <w:szCs w:val="22"/>
              <w:lang w:val="en-US" w:eastAsia="en-US" w:bidi="ar-SA"/>
            </w:rPr>
            <w:sectPr>
              <w:headerReference r:id="rId5" w:type="default"/>
              <w:pgSz w:w="23811" w:h="16838" w:orient="landscape"/>
              <w:pgMar w:top="1800" w:right="1440" w:bottom="1800" w:left="1440" w:header="851" w:footer="992" w:gutter="0"/>
              <w:pgNumType w:fmt="numberInDash"/>
              <w:cols w:space="2106" w:num="2"/>
              <w:docGrid w:type="lines" w:linePitch="312" w:charSpace="0"/>
            </w:sectPr>
          </w:pPr>
          <w:r>
            <w:rPr>
              <w:sz w:val="32"/>
              <w:szCs w:val="32"/>
            </w:rPr>
            <w:fldChar w:fldCharType="end"/>
          </w:r>
        </w:p>
      </w:sdtContent>
    </w:sdt>
    <w:p w14:paraId="636EE436">
      <w:pPr>
        <w:keepNext w:val="0"/>
        <w:keepLines w:val="0"/>
        <w:pageBreakBefore w:val="0"/>
        <w:widowControl w:val="0"/>
        <w:kinsoku/>
        <w:wordWrap/>
        <w:overflowPunct/>
        <w:topLinePunct w:val="0"/>
        <w:autoSpaceDE w:val="0"/>
        <w:autoSpaceDN w:val="0"/>
        <w:bidi w:val="0"/>
        <w:adjustRightInd w:val="0"/>
        <w:snapToGrid w:val="0"/>
        <w:spacing w:after="313" w:afterLines="100" w:line="560" w:lineRule="exact"/>
        <w:ind w:right="0"/>
        <w:jc w:val="center"/>
        <w:textAlignment w:val="baseline"/>
        <w:outlineLvl w:val="0"/>
        <w:rPr>
          <w:rFonts w:ascii="楷体" w:hAnsi="楷体" w:eastAsia="楷体" w:cs="楷体"/>
          <w:b/>
          <w:bCs/>
          <w:color w:val="auto"/>
          <w:spacing w:val="2"/>
          <w:sz w:val="44"/>
          <w:szCs w:val="44"/>
        </w:rPr>
      </w:pPr>
      <w:bookmarkStart w:id="0" w:name="_Toc15359"/>
      <w:bookmarkStart w:id="1" w:name="_Toc19463"/>
      <w:bookmarkStart w:id="2" w:name="_Toc25938"/>
      <w:bookmarkStart w:id="3" w:name="_Toc814"/>
      <w:r>
        <w:rPr>
          <w:rFonts w:hint="eastAsia" w:ascii="黑体" w:hAnsi="黑体" w:eastAsia="黑体" w:cs="黑体"/>
          <w:color w:val="auto"/>
          <w:spacing w:val="7"/>
          <w:sz w:val="44"/>
          <w:szCs w:val="44"/>
          <w:lang w:val="en-US" w:eastAsia="zh-CN"/>
        </w:rPr>
        <w:t xml:space="preserve">第一章 </w:t>
      </w:r>
      <w:r>
        <w:rPr>
          <w:rFonts w:ascii="黑体" w:hAnsi="黑体" w:eastAsia="黑体" w:cs="黑体"/>
          <w:color w:val="auto"/>
          <w:spacing w:val="7"/>
          <w:sz w:val="44"/>
          <w:szCs w:val="44"/>
        </w:rPr>
        <w:t>总则</w:t>
      </w:r>
      <w:bookmarkEnd w:id="0"/>
      <w:bookmarkEnd w:id="1"/>
      <w:bookmarkEnd w:id="2"/>
      <w:bookmarkEnd w:id="3"/>
      <w:bookmarkStart w:id="4" w:name="bookmark2"/>
      <w:bookmarkEnd w:id="4"/>
      <w:bookmarkStart w:id="5" w:name="bookmark1"/>
      <w:bookmarkEnd w:id="5"/>
    </w:p>
    <w:p w14:paraId="547D6024">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28" w:firstLineChars="200"/>
        <w:textAlignment w:val="baseline"/>
        <w:outlineLvl w:val="0"/>
        <w:rPr>
          <w:rFonts w:hint="eastAsia" w:ascii="黑体" w:hAnsi="黑体" w:eastAsia="黑体" w:cs="黑体"/>
          <w:b w:val="0"/>
          <w:bCs w:val="0"/>
          <w:color w:val="auto"/>
          <w:sz w:val="31"/>
          <w:szCs w:val="31"/>
        </w:rPr>
      </w:pPr>
      <w:bookmarkStart w:id="6" w:name="_Toc4398"/>
      <w:bookmarkStart w:id="7" w:name="_Toc4265"/>
      <w:bookmarkStart w:id="8" w:name="_Toc938"/>
      <w:bookmarkStart w:id="9" w:name="_Toc21315"/>
      <w:r>
        <w:rPr>
          <w:rFonts w:hint="eastAsia" w:ascii="黑体" w:hAnsi="黑体" w:eastAsia="黑体" w:cs="黑体"/>
          <w:b w:val="0"/>
          <w:bCs w:val="0"/>
          <w:color w:val="auto"/>
          <w:spacing w:val="2"/>
          <w:sz w:val="31"/>
          <w:szCs w:val="31"/>
        </w:rPr>
        <w:t>一</w:t>
      </w:r>
      <w:r>
        <w:rPr>
          <w:rFonts w:hint="eastAsia" w:ascii="黑体" w:hAnsi="黑体" w:eastAsia="黑体" w:cs="黑体"/>
          <w:b w:val="0"/>
          <w:bCs w:val="0"/>
          <w:color w:val="auto"/>
          <w:spacing w:val="2"/>
          <w:sz w:val="31"/>
          <w:szCs w:val="31"/>
          <w:lang w:eastAsia="zh-CN"/>
        </w:rPr>
        <w:t>、</w:t>
      </w:r>
      <w:r>
        <w:rPr>
          <w:rFonts w:hint="eastAsia" w:ascii="黑体" w:hAnsi="黑体" w:eastAsia="黑体" w:cs="黑体"/>
          <w:b w:val="0"/>
          <w:bCs w:val="0"/>
          <w:color w:val="auto"/>
          <w:spacing w:val="2"/>
          <w:sz w:val="31"/>
          <w:szCs w:val="31"/>
        </w:rPr>
        <w:t>规划背景</w:t>
      </w:r>
      <w:bookmarkEnd w:id="6"/>
      <w:bookmarkEnd w:id="7"/>
      <w:bookmarkEnd w:id="8"/>
      <w:bookmarkEnd w:id="9"/>
    </w:p>
    <w:p w14:paraId="36866829">
      <w:pPr>
        <w:keepNext w:val="0"/>
        <w:keepLines w:val="0"/>
        <w:pageBreakBefore w:val="0"/>
        <w:widowControl w:val="0"/>
        <w:kinsoku/>
        <w:wordWrap/>
        <w:overflowPunct/>
        <w:topLinePunct w:val="0"/>
        <w:autoSpaceDE w:val="0"/>
        <w:autoSpaceDN w:val="0"/>
        <w:bidi w:val="0"/>
        <w:adjustRightInd w:val="0"/>
        <w:snapToGrid w:val="0"/>
        <w:spacing w:line="560" w:lineRule="exact"/>
        <w:ind w:right="0" w:rightChars="0" w:firstLine="675" w:firstLineChars="200"/>
        <w:textAlignment w:val="baseline"/>
        <w:outlineLvl w:val="1"/>
        <w:rPr>
          <w:rFonts w:hint="eastAsia" w:ascii="仿宋_GB2312" w:hAnsi="仿宋_GB2312" w:eastAsia="仿宋_GB2312" w:cs="仿宋_GB2312"/>
          <w:b w:val="0"/>
          <w:bCs w:val="0"/>
          <w:color w:val="auto"/>
          <w:spacing w:val="8"/>
          <w:sz w:val="32"/>
          <w:szCs w:val="32"/>
        </w:rPr>
      </w:pPr>
      <w:bookmarkStart w:id="10" w:name="_Toc17969"/>
      <w:bookmarkStart w:id="11" w:name="_Toc5681"/>
      <w:bookmarkStart w:id="12" w:name="_Toc19390"/>
      <w:bookmarkStart w:id="13" w:name="_Toc8821"/>
      <w:r>
        <w:rPr>
          <w:rFonts w:hint="eastAsia" w:ascii="楷体_GB2312" w:hAnsi="楷体_GB2312" w:eastAsia="楷体_GB2312" w:cs="楷体_GB2312"/>
          <w:b/>
          <w:bCs/>
          <w:color w:val="auto"/>
          <w:spacing w:val="8"/>
          <w:sz w:val="32"/>
          <w:szCs w:val="32"/>
          <w:lang w:eastAsia="zh-CN"/>
        </w:rPr>
        <w:t>（</w:t>
      </w:r>
      <w:r>
        <w:rPr>
          <w:rFonts w:hint="eastAsia" w:ascii="楷体_GB2312" w:hAnsi="楷体_GB2312" w:eastAsia="楷体_GB2312" w:cs="楷体_GB2312"/>
          <w:b/>
          <w:bCs/>
          <w:color w:val="auto"/>
          <w:spacing w:val="8"/>
          <w:sz w:val="32"/>
          <w:szCs w:val="32"/>
          <w:lang w:val="en-US" w:eastAsia="zh-CN"/>
        </w:rPr>
        <w:t>一）</w:t>
      </w:r>
      <w:r>
        <w:rPr>
          <w:rFonts w:hint="eastAsia" w:ascii="楷体_GB2312" w:hAnsi="楷体_GB2312" w:eastAsia="楷体_GB2312" w:cs="楷体_GB2312"/>
          <w:b/>
          <w:bCs/>
          <w:color w:val="auto"/>
          <w:spacing w:val="8"/>
          <w:sz w:val="32"/>
          <w:szCs w:val="32"/>
        </w:rPr>
        <w:t>国家战略导向</w:t>
      </w:r>
      <w:r>
        <w:rPr>
          <w:rFonts w:hint="eastAsia" w:ascii="仿宋_GB2312" w:hAnsi="仿宋_GB2312" w:eastAsia="仿宋_GB2312" w:cs="仿宋_GB2312"/>
          <w:b w:val="0"/>
          <w:bCs w:val="0"/>
          <w:color w:val="auto"/>
          <w:spacing w:val="8"/>
          <w:sz w:val="32"/>
          <w:szCs w:val="32"/>
        </w:rPr>
        <w:t>：建筑垃圾</w:t>
      </w:r>
      <w:r>
        <w:rPr>
          <w:rFonts w:hint="eastAsia" w:ascii="仿宋_GB2312" w:hAnsi="仿宋_GB2312" w:eastAsia="仿宋_GB2312" w:cs="仿宋_GB2312"/>
          <w:b w:val="0"/>
          <w:bCs w:val="0"/>
          <w:color w:val="auto"/>
          <w:spacing w:val="8"/>
          <w:sz w:val="32"/>
          <w:szCs w:val="32"/>
          <w:lang w:val="en-US" w:eastAsia="zh-CN"/>
        </w:rPr>
        <w:t>污染防治</w:t>
      </w:r>
      <w:r>
        <w:rPr>
          <w:rFonts w:hint="eastAsia" w:ascii="仿宋_GB2312" w:hAnsi="仿宋_GB2312" w:eastAsia="仿宋_GB2312" w:cs="仿宋_GB2312"/>
          <w:b w:val="0"/>
          <w:bCs w:val="0"/>
          <w:color w:val="auto"/>
          <w:spacing w:val="8"/>
          <w:sz w:val="32"/>
          <w:szCs w:val="32"/>
        </w:rPr>
        <w:t>是绿色转型的必然要求</w:t>
      </w:r>
      <w:bookmarkEnd w:id="10"/>
      <w:bookmarkEnd w:id="11"/>
      <w:bookmarkEnd w:id="12"/>
      <w:bookmarkEnd w:id="13"/>
    </w:p>
    <w:p w14:paraId="2F48D494">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2" w:firstLineChars="200"/>
        <w:textAlignment w:val="baseline"/>
        <w:rPr>
          <w:rFonts w:hint="eastAsia" w:ascii="仿宋_GB2312" w:hAnsi="仿宋_GB2312" w:eastAsia="仿宋_GB2312" w:cs="仿宋_GB2312"/>
          <w:b w:val="0"/>
          <w:bCs w:val="0"/>
          <w:color w:val="auto"/>
          <w:spacing w:val="8"/>
          <w:sz w:val="32"/>
          <w:szCs w:val="32"/>
          <w:lang w:eastAsia="zh-CN"/>
        </w:rPr>
      </w:pPr>
      <w:r>
        <w:rPr>
          <w:rFonts w:hint="eastAsia" w:ascii="仿宋_GB2312" w:hAnsi="仿宋_GB2312" w:eastAsia="仿宋_GB2312" w:cs="仿宋_GB2312"/>
          <w:b w:val="0"/>
          <w:bCs w:val="0"/>
          <w:color w:val="auto"/>
          <w:spacing w:val="8"/>
          <w:sz w:val="32"/>
          <w:szCs w:val="32"/>
        </w:rPr>
        <w:t>我国已进入以降碳为重点战略方向、推动减污降碳协同增效的关键时期，党的二十大报告明确提出“推进美丽中国建设，协同推进降碳、减污、扩绿、增长”，将生态优先、绿色低碳发展纳入国家发展全局。建筑垃圾</w:t>
      </w:r>
      <w:r>
        <w:rPr>
          <w:rFonts w:hint="eastAsia" w:ascii="仿宋_GB2312" w:hAnsi="仿宋_GB2312" w:eastAsia="仿宋_GB2312" w:cs="仿宋_GB2312"/>
          <w:b w:val="0"/>
          <w:bCs w:val="0"/>
          <w:color w:val="auto"/>
          <w:spacing w:val="8"/>
          <w:sz w:val="32"/>
          <w:szCs w:val="32"/>
          <w:lang w:val="en-US" w:eastAsia="zh-CN"/>
        </w:rPr>
        <w:t>污染防治</w:t>
      </w:r>
      <w:r>
        <w:rPr>
          <w:rFonts w:hint="eastAsia" w:ascii="仿宋_GB2312" w:hAnsi="仿宋_GB2312" w:eastAsia="仿宋_GB2312" w:cs="仿宋_GB2312"/>
          <w:b w:val="0"/>
          <w:bCs w:val="0"/>
          <w:color w:val="auto"/>
          <w:spacing w:val="8"/>
          <w:sz w:val="32"/>
          <w:szCs w:val="32"/>
        </w:rPr>
        <w:t>作为生态文明建设的重要环节，既是污染防治攻坚战的重点任务，也是破解城乡生态环境建设短板的关键举措</w:t>
      </w:r>
      <w:r>
        <w:rPr>
          <w:rFonts w:hint="eastAsia" w:ascii="仿宋_GB2312" w:hAnsi="仿宋_GB2312" w:eastAsia="仿宋_GB2312" w:cs="仿宋_GB2312"/>
          <w:b w:val="0"/>
          <w:bCs w:val="0"/>
          <w:color w:val="auto"/>
          <w:spacing w:val="8"/>
          <w:sz w:val="32"/>
          <w:szCs w:val="32"/>
          <w:lang w:eastAsia="zh-CN"/>
        </w:rPr>
        <w:t>。</w:t>
      </w:r>
    </w:p>
    <w:p w14:paraId="1E534E1A">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2" w:firstLineChars="200"/>
        <w:textAlignment w:val="baseline"/>
        <w:rPr>
          <w:rFonts w:hint="eastAsia" w:ascii="仿宋_GB2312" w:hAnsi="仿宋_GB2312" w:eastAsia="仿宋_GB2312" w:cs="仿宋_GB2312"/>
          <w:b w:val="0"/>
          <w:bCs w:val="0"/>
          <w:color w:val="auto"/>
          <w:spacing w:val="8"/>
          <w:sz w:val="32"/>
          <w:szCs w:val="32"/>
        </w:rPr>
      </w:pPr>
      <w:r>
        <w:rPr>
          <w:rFonts w:hint="eastAsia" w:ascii="仿宋_GB2312" w:hAnsi="仿宋_GB2312" w:eastAsia="仿宋_GB2312" w:cs="仿宋_GB2312"/>
          <w:color w:val="auto"/>
          <w:spacing w:val="8"/>
          <w:sz w:val="32"/>
          <w:szCs w:val="32"/>
        </w:rPr>
        <w:t>当前，建筑垃圾治理仍存在精细化分类覆盖不足、资源化利用技术滞后、全链条管理体系不健全等突出问题，这些问题已成为制约</w:t>
      </w:r>
      <w:r>
        <w:rPr>
          <w:rFonts w:hint="eastAsia" w:ascii="仿宋_GB2312" w:hAnsi="仿宋_GB2312" w:eastAsia="仿宋_GB2312" w:cs="仿宋_GB2312"/>
          <w:color w:val="auto"/>
          <w:spacing w:val="8"/>
          <w:sz w:val="32"/>
          <w:szCs w:val="32"/>
          <w:lang w:eastAsia="zh-CN"/>
        </w:rPr>
        <w:t>经济社会发展全面绿色转型</w:t>
      </w:r>
      <w:r>
        <w:rPr>
          <w:rFonts w:hint="eastAsia" w:ascii="仿宋_GB2312" w:hAnsi="仿宋_GB2312" w:eastAsia="仿宋_GB2312" w:cs="仿宋_GB2312"/>
          <w:color w:val="auto"/>
          <w:spacing w:val="8"/>
          <w:sz w:val="32"/>
          <w:szCs w:val="32"/>
        </w:rPr>
        <w:t>、阻碍生态环境质量实现“量变到质变”突破的核心瓶颈。在此背景下，</w:t>
      </w:r>
      <w:r>
        <w:rPr>
          <w:rFonts w:hint="eastAsia" w:ascii="仿宋_GB2312" w:hAnsi="仿宋_GB2312" w:eastAsia="仿宋_GB2312" w:cs="仿宋_GB2312"/>
          <w:color w:val="auto"/>
          <w:spacing w:val="8"/>
          <w:sz w:val="32"/>
          <w:szCs w:val="32"/>
          <w:lang w:eastAsia="zh-CN"/>
        </w:rPr>
        <w:t>亟须</w:t>
      </w:r>
      <w:r>
        <w:rPr>
          <w:rFonts w:hint="eastAsia" w:ascii="仿宋_GB2312" w:hAnsi="仿宋_GB2312" w:eastAsia="仿宋_GB2312" w:cs="仿宋_GB2312"/>
          <w:color w:val="auto"/>
          <w:spacing w:val="8"/>
          <w:sz w:val="32"/>
          <w:szCs w:val="32"/>
        </w:rPr>
        <w:t>通过系统性规划构建科学治理框架，推动建筑垃圾治理能力与治理体系现代化升级，为国家绿色发展战略落地提供有力支撑。</w:t>
      </w:r>
      <w:r>
        <w:rPr>
          <w:rFonts w:hint="eastAsia" w:ascii="仿宋_GB2312" w:hAnsi="仿宋_GB2312" w:eastAsia="仿宋_GB2312" w:cs="仿宋_GB2312"/>
          <w:b w:val="0"/>
          <w:bCs w:val="0"/>
          <w:color w:val="auto"/>
          <w:spacing w:val="8"/>
          <w:sz w:val="32"/>
          <w:szCs w:val="32"/>
        </w:rPr>
        <w:t>​</w:t>
      </w:r>
    </w:p>
    <w:p w14:paraId="4E9DEAF6">
      <w:pPr>
        <w:keepNext w:val="0"/>
        <w:keepLines w:val="0"/>
        <w:pageBreakBefore w:val="0"/>
        <w:widowControl w:val="0"/>
        <w:kinsoku/>
        <w:wordWrap/>
        <w:overflowPunct/>
        <w:topLinePunct w:val="0"/>
        <w:autoSpaceDE w:val="0"/>
        <w:autoSpaceDN w:val="0"/>
        <w:bidi w:val="0"/>
        <w:adjustRightInd w:val="0"/>
        <w:snapToGrid w:val="0"/>
        <w:spacing w:line="560" w:lineRule="exact"/>
        <w:ind w:right="0" w:rightChars="0" w:firstLine="675" w:firstLineChars="200"/>
        <w:textAlignment w:val="baseline"/>
        <w:outlineLvl w:val="1"/>
        <w:rPr>
          <w:rFonts w:hint="eastAsia" w:ascii="仿宋_GB2312" w:hAnsi="仿宋_GB2312" w:eastAsia="仿宋_GB2312" w:cs="仿宋_GB2312"/>
          <w:b w:val="0"/>
          <w:bCs w:val="0"/>
          <w:color w:val="auto"/>
          <w:spacing w:val="8"/>
          <w:sz w:val="32"/>
          <w:szCs w:val="32"/>
        </w:rPr>
      </w:pPr>
      <w:bookmarkStart w:id="14" w:name="_Toc22535"/>
      <w:bookmarkStart w:id="15" w:name="_Toc14467"/>
      <w:bookmarkStart w:id="16" w:name="_Toc2786"/>
      <w:bookmarkStart w:id="17" w:name="_Toc17373"/>
      <w:r>
        <w:rPr>
          <w:rFonts w:hint="eastAsia" w:ascii="楷体_GB2312" w:hAnsi="楷体_GB2312" w:eastAsia="楷体_GB2312" w:cs="楷体_GB2312"/>
          <w:b/>
          <w:bCs/>
          <w:color w:val="auto"/>
          <w:spacing w:val="8"/>
          <w:sz w:val="32"/>
          <w:szCs w:val="32"/>
          <w:lang w:eastAsia="zh-CN"/>
        </w:rPr>
        <w:t>（</w:t>
      </w:r>
      <w:r>
        <w:rPr>
          <w:rFonts w:hint="eastAsia" w:ascii="楷体_GB2312" w:hAnsi="楷体_GB2312" w:eastAsia="楷体_GB2312" w:cs="楷体_GB2312"/>
          <w:b/>
          <w:bCs/>
          <w:color w:val="auto"/>
          <w:spacing w:val="8"/>
          <w:sz w:val="32"/>
          <w:szCs w:val="32"/>
          <w:lang w:val="en-US" w:eastAsia="zh-CN"/>
        </w:rPr>
        <w:t>二）区域使命担当</w:t>
      </w:r>
      <w:r>
        <w:rPr>
          <w:rFonts w:hint="eastAsia" w:ascii="仿宋_GB2312" w:hAnsi="仿宋_GB2312" w:eastAsia="仿宋_GB2312" w:cs="仿宋_GB2312"/>
          <w:b w:val="0"/>
          <w:bCs w:val="0"/>
          <w:color w:val="auto"/>
          <w:spacing w:val="8"/>
          <w:sz w:val="32"/>
          <w:szCs w:val="32"/>
        </w:rPr>
        <w:t>：建筑垃圾</w:t>
      </w:r>
      <w:r>
        <w:rPr>
          <w:rFonts w:hint="eastAsia" w:ascii="仿宋_GB2312" w:hAnsi="仿宋_GB2312" w:eastAsia="仿宋_GB2312" w:cs="仿宋_GB2312"/>
          <w:b w:val="0"/>
          <w:bCs w:val="0"/>
          <w:color w:val="auto"/>
          <w:spacing w:val="8"/>
          <w:sz w:val="32"/>
          <w:szCs w:val="32"/>
          <w:lang w:val="en-US" w:eastAsia="zh-CN"/>
        </w:rPr>
        <w:t>污染防治</w:t>
      </w:r>
      <w:r>
        <w:rPr>
          <w:rFonts w:hint="eastAsia" w:ascii="仿宋_GB2312" w:hAnsi="仿宋_GB2312" w:eastAsia="仿宋_GB2312" w:cs="仿宋_GB2312"/>
          <w:b w:val="0"/>
          <w:bCs w:val="0"/>
          <w:color w:val="auto"/>
          <w:spacing w:val="8"/>
          <w:sz w:val="32"/>
          <w:szCs w:val="32"/>
        </w:rPr>
        <w:t>是筑牢西部生态屏障的现实责任​</w:t>
      </w:r>
      <w:bookmarkEnd w:id="14"/>
      <w:bookmarkEnd w:id="15"/>
      <w:bookmarkEnd w:id="16"/>
      <w:bookmarkEnd w:id="17"/>
    </w:p>
    <w:p w14:paraId="5CAD3663">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2" w:firstLineChars="200"/>
        <w:textAlignment w:val="baseline"/>
        <w:rPr>
          <w:rFonts w:hint="eastAsia" w:ascii="仿宋_GB2312" w:hAnsi="仿宋_GB2312" w:eastAsia="仿宋_GB2312" w:cs="仿宋_GB2312"/>
          <w:b w:val="0"/>
          <w:bCs w:val="0"/>
          <w:color w:val="auto"/>
          <w:spacing w:val="8"/>
          <w:sz w:val="32"/>
          <w:szCs w:val="32"/>
        </w:rPr>
      </w:pPr>
      <w:r>
        <w:rPr>
          <w:rFonts w:hint="eastAsia" w:ascii="仿宋_GB2312" w:hAnsi="仿宋_GB2312" w:eastAsia="仿宋_GB2312" w:cs="仿宋_GB2312"/>
          <w:b w:val="0"/>
          <w:bCs w:val="0"/>
          <w:color w:val="auto"/>
          <w:spacing w:val="8"/>
          <w:sz w:val="32"/>
          <w:szCs w:val="32"/>
        </w:rPr>
        <w:t>甘州区地处河西走廊中部、黑河沿岸，作为张掖市政治经济文化中心，在国家西部生态安全屏障建设中具有不可替代的战略地位。2023年5月习近平总书记在甘肃考察时强调“加强生态环境保护，推动绿色发展崛起”，为区域发展指明方向。甘州区始终将生态保护作为核心使命，将绿色发展理念贯穿经济社会发展全过程，在统筹高质量发展与高水平保护中，持续推进环境污染治理重点任务</w:t>
      </w:r>
      <w:r>
        <w:rPr>
          <w:rFonts w:hint="eastAsia" w:ascii="仿宋_GB2312" w:hAnsi="仿宋_GB2312" w:eastAsia="仿宋_GB2312" w:cs="仿宋_GB2312"/>
          <w:b w:val="0"/>
          <w:bCs w:val="0"/>
          <w:color w:val="auto"/>
          <w:spacing w:val="8"/>
          <w:sz w:val="32"/>
          <w:szCs w:val="32"/>
          <w:lang w:eastAsia="zh-CN"/>
        </w:rPr>
        <w:t>。</w:t>
      </w:r>
      <w:r>
        <w:rPr>
          <w:rFonts w:hint="eastAsia" w:ascii="仿宋_GB2312" w:hAnsi="仿宋_GB2312" w:eastAsia="仿宋_GB2312" w:cs="仿宋_GB2312"/>
          <w:color w:val="auto"/>
          <w:spacing w:val="8"/>
          <w:sz w:val="32"/>
          <w:szCs w:val="32"/>
        </w:rPr>
        <w:t>建筑垃圾作为环境治理的“硬骨头”，其污染防治成效直接关系区域生态系统稳定、黑河流域生态安全及城乡环境品质提升，更是甘州区践行国家生态战略、扛起西部生态屏障建设责任的必然举措。</w:t>
      </w:r>
      <w:r>
        <w:rPr>
          <w:rFonts w:hint="eastAsia" w:ascii="仿宋_GB2312" w:hAnsi="仿宋_GB2312" w:eastAsia="仿宋_GB2312" w:cs="仿宋_GB2312"/>
          <w:b w:val="0"/>
          <w:bCs w:val="0"/>
          <w:color w:val="auto"/>
          <w:spacing w:val="8"/>
          <w:sz w:val="32"/>
          <w:szCs w:val="32"/>
        </w:rPr>
        <w:t>​</w:t>
      </w:r>
    </w:p>
    <w:p w14:paraId="123BE62B">
      <w:pPr>
        <w:keepNext w:val="0"/>
        <w:keepLines w:val="0"/>
        <w:pageBreakBefore w:val="0"/>
        <w:widowControl w:val="0"/>
        <w:kinsoku/>
        <w:wordWrap/>
        <w:overflowPunct/>
        <w:topLinePunct w:val="0"/>
        <w:autoSpaceDE w:val="0"/>
        <w:autoSpaceDN w:val="0"/>
        <w:bidi w:val="0"/>
        <w:adjustRightInd w:val="0"/>
        <w:snapToGrid w:val="0"/>
        <w:spacing w:line="560" w:lineRule="exact"/>
        <w:ind w:right="0" w:rightChars="0" w:firstLine="675" w:firstLineChars="200"/>
        <w:textAlignment w:val="baseline"/>
        <w:outlineLvl w:val="1"/>
        <w:rPr>
          <w:rFonts w:hint="eastAsia" w:ascii="仿宋_GB2312" w:hAnsi="仿宋_GB2312" w:eastAsia="仿宋_GB2312" w:cs="仿宋_GB2312"/>
          <w:b w:val="0"/>
          <w:bCs w:val="0"/>
          <w:color w:val="auto"/>
          <w:spacing w:val="8"/>
          <w:sz w:val="32"/>
          <w:szCs w:val="32"/>
        </w:rPr>
      </w:pPr>
      <w:bookmarkStart w:id="18" w:name="_Toc29995"/>
      <w:bookmarkStart w:id="19" w:name="_Toc19790"/>
      <w:bookmarkStart w:id="20" w:name="_Toc9114"/>
      <w:bookmarkStart w:id="21" w:name="_Toc16218"/>
      <w:r>
        <w:rPr>
          <w:rFonts w:hint="eastAsia" w:ascii="楷体_GB2312" w:hAnsi="楷体_GB2312" w:eastAsia="楷体_GB2312" w:cs="楷体_GB2312"/>
          <w:b/>
          <w:bCs/>
          <w:color w:val="auto"/>
          <w:spacing w:val="8"/>
          <w:sz w:val="32"/>
          <w:szCs w:val="32"/>
          <w:lang w:eastAsia="zh-CN"/>
        </w:rPr>
        <w:t>（</w:t>
      </w:r>
      <w:r>
        <w:rPr>
          <w:rFonts w:hint="eastAsia" w:ascii="楷体_GB2312" w:hAnsi="楷体_GB2312" w:eastAsia="楷体_GB2312" w:cs="楷体_GB2312"/>
          <w:b/>
          <w:bCs/>
          <w:color w:val="auto"/>
          <w:spacing w:val="8"/>
          <w:sz w:val="32"/>
          <w:szCs w:val="32"/>
          <w:lang w:val="en-US" w:eastAsia="zh-CN"/>
        </w:rPr>
        <w:t>三）地方现实需求</w:t>
      </w:r>
      <w:r>
        <w:rPr>
          <w:rFonts w:hint="eastAsia" w:ascii="仿宋_GB2312" w:hAnsi="仿宋_GB2312" w:eastAsia="仿宋_GB2312" w:cs="仿宋_GB2312"/>
          <w:b/>
          <w:bCs/>
          <w:color w:val="auto"/>
          <w:spacing w:val="8"/>
          <w:sz w:val="32"/>
          <w:szCs w:val="32"/>
        </w:rPr>
        <w:t>：</w:t>
      </w:r>
      <w:r>
        <w:rPr>
          <w:rFonts w:hint="eastAsia" w:ascii="仿宋_GB2312" w:hAnsi="仿宋_GB2312" w:eastAsia="仿宋_GB2312" w:cs="仿宋_GB2312"/>
          <w:b w:val="0"/>
          <w:bCs w:val="0"/>
          <w:color w:val="auto"/>
          <w:spacing w:val="8"/>
          <w:sz w:val="32"/>
          <w:szCs w:val="32"/>
        </w:rPr>
        <w:t>建筑垃圾</w:t>
      </w:r>
      <w:r>
        <w:rPr>
          <w:rFonts w:hint="eastAsia" w:ascii="仿宋_GB2312" w:hAnsi="仿宋_GB2312" w:eastAsia="仿宋_GB2312" w:cs="仿宋_GB2312"/>
          <w:b w:val="0"/>
          <w:bCs w:val="0"/>
          <w:color w:val="auto"/>
          <w:spacing w:val="8"/>
          <w:sz w:val="32"/>
          <w:szCs w:val="32"/>
          <w:lang w:val="en-US" w:eastAsia="zh-CN"/>
        </w:rPr>
        <w:t>污染防治</w:t>
      </w:r>
      <w:r>
        <w:rPr>
          <w:rFonts w:hint="eastAsia" w:ascii="仿宋_GB2312" w:hAnsi="仿宋_GB2312" w:eastAsia="仿宋_GB2312" w:cs="仿宋_GB2312"/>
          <w:b w:val="0"/>
          <w:bCs w:val="0"/>
          <w:color w:val="auto"/>
          <w:spacing w:val="8"/>
          <w:sz w:val="32"/>
          <w:szCs w:val="32"/>
        </w:rPr>
        <w:t>是破解发展痛点的紧迫任务​</w:t>
      </w:r>
      <w:bookmarkEnd w:id="18"/>
      <w:bookmarkEnd w:id="19"/>
      <w:bookmarkEnd w:id="20"/>
      <w:bookmarkEnd w:id="21"/>
    </w:p>
    <w:p w14:paraId="03A86FDE">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2" w:firstLineChars="200"/>
        <w:textAlignment w:val="baseline"/>
        <w:rPr>
          <w:rFonts w:hint="eastAsia"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近年来，甘州区投入大量资金人力推进人居环境整治，在垃圾治理、污染防治等方面取得一定成效，但</w:t>
      </w:r>
      <w:r>
        <w:rPr>
          <w:rFonts w:hint="eastAsia" w:ascii="仿宋_GB2312" w:hAnsi="仿宋_GB2312" w:eastAsia="仿宋_GB2312" w:cs="仿宋_GB2312"/>
          <w:color w:val="auto"/>
          <w:spacing w:val="8"/>
          <w:sz w:val="32"/>
          <w:szCs w:val="32"/>
          <w:lang w:eastAsia="zh-CN"/>
        </w:rPr>
        <w:t>建筑垃圾处置能力不足、资源浪费严重、全流程监管存在漏洞</w:t>
      </w:r>
      <w:r>
        <w:rPr>
          <w:rFonts w:hint="eastAsia" w:ascii="仿宋_GB2312" w:hAnsi="仿宋_GB2312" w:eastAsia="仿宋_GB2312" w:cs="仿宋_GB2312"/>
          <w:b w:val="0"/>
          <w:bCs w:val="0"/>
          <w:color w:val="auto"/>
          <w:spacing w:val="8"/>
          <w:sz w:val="32"/>
          <w:szCs w:val="32"/>
          <w:lang w:val="en-US" w:eastAsia="zh-CN"/>
        </w:rPr>
        <w:t>等问题仍</w:t>
      </w:r>
      <w:r>
        <w:rPr>
          <w:rFonts w:hint="eastAsia" w:ascii="仿宋_GB2312" w:hAnsi="仿宋_GB2312" w:eastAsia="仿宋_GB2312" w:cs="仿宋_GB2312"/>
          <w:color w:val="auto"/>
          <w:spacing w:val="8"/>
          <w:sz w:val="32"/>
          <w:szCs w:val="32"/>
          <w:lang w:eastAsia="zh-CN"/>
        </w:rPr>
        <w:t>未得到根本解决，成为制约区域可持续发展的突出痛点</w:t>
      </w:r>
      <w:r>
        <w:rPr>
          <w:rFonts w:hint="eastAsia" w:ascii="仿宋_GB2312" w:hAnsi="仿宋_GB2312" w:eastAsia="仿宋_GB2312" w:cs="仿宋_GB2312"/>
          <w:b w:val="0"/>
          <w:bCs w:val="0"/>
          <w:color w:val="auto"/>
          <w:spacing w:val="8"/>
          <w:sz w:val="32"/>
          <w:szCs w:val="32"/>
          <w:lang w:val="en-US" w:eastAsia="zh-CN"/>
        </w:rPr>
        <w:t>。当前，随着新型城镇化建设、城市更新改造及产业园区扩容提速，建筑垃圾治理压力持续加大。</w:t>
      </w:r>
    </w:p>
    <w:p w14:paraId="37FE9AB3">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2" w:firstLineChars="200"/>
        <w:textAlignment w:val="baseline"/>
        <w:rPr>
          <w:rFonts w:hint="eastAsia"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《张掖市关于推进建筑垃圾资源化利用工作的实施意见》《张掖市生态环境保护“十四五”规划》</w:t>
      </w:r>
      <w:r>
        <w:rPr>
          <w:rFonts w:hint="eastAsia" w:ascii="仿宋_GB2312" w:hAnsi="仿宋_GB2312" w:eastAsia="仿宋_GB2312" w:cs="仿宋_GB2312"/>
          <w:color w:val="auto"/>
          <w:spacing w:val="8"/>
          <w:sz w:val="32"/>
          <w:szCs w:val="32"/>
          <w:lang w:eastAsia="zh-CN"/>
        </w:rPr>
        <w:t>等政策文件，既为甘州区建筑垃圾治理提供了明确方向，也提出了“资源化利用率提升、处置成本下降、环境风险可控”的更高要求。</w:t>
      </w:r>
      <w:r>
        <w:rPr>
          <w:rFonts w:hint="eastAsia" w:ascii="仿宋_GB2312" w:hAnsi="仿宋_GB2312" w:eastAsia="仿宋_GB2312" w:cs="仿宋_GB2312"/>
          <w:b w:val="0"/>
          <w:bCs w:val="0"/>
          <w:color w:val="auto"/>
          <w:spacing w:val="8"/>
          <w:sz w:val="32"/>
          <w:szCs w:val="32"/>
          <w:lang w:val="en-US" w:eastAsia="zh-CN"/>
        </w:rPr>
        <w:t>破解建筑垃圾“产生－运输－处置－利用”全链条短板迫在眉睫。因此，建立健全建筑垃圾综合处理体系，加强全流程精细化管理，推进资源化利用，是解决问题的现实需要，也是提升城乡人居环境、优化发展环境、建设美丽家园的客观要求。</w:t>
      </w:r>
    </w:p>
    <w:p w14:paraId="5F11131F">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28" w:firstLineChars="200"/>
        <w:textAlignment w:val="baseline"/>
        <w:outlineLvl w:val="0"/>
        <w:rPr>
          <w:rFonts w:hint="eastAsia" w:ascii="黑体" w:hAnsi="黑体" w:eastAsia="黑体" w:cs="黑体"/>
          <w:b w:val="0"/>
          <w:bCs w:val="0"/>
          <w:color w:val="auto"/>
          <w:spacing w:val="2"/>
          <w:sz w:val="31"/>
          <w:szCs w:val="31"/>
        </w:rPr>
      </w:pPr>
      <w:bookmarkStart w:id="22" w:name="_Toc16516"/>
      <w:bookmarkStart w:id="23" w:name="_Toc5117"/>
      <w:bookmarkStart w:id="24" w:name="_Toc24958"/>
      <w:bookmarkStart w:id="25" w:name="_Toc10233"/>
      <w:r>
        <w:rPr>
          <w:rFonts w:hint="eastAsia" w:ascii="黑体" w:hAnsi="黑体" w:eastAsia="黑体" w:cs="黑体"/>
          <w:b w:val="0"/>
          <w:bCs w:val="0"/>
          <w:color w:val="auto"/>
          <w:spacing w:val="2"/>
          <w:sz w:val="31"/>
          <w:szCs w:val="31"/>
        </w:rPr>
        <w:t>二</w:t>
      </w:r>
      <w:r>
        <w:rPr>
          <w:rFonts w:hint="eastAsia" w:ascii="黑体" w:hAnsi="黑体" w:eastAsia="黑体" w:cs="黑体"/>
          <w:b w:val="0"/>
          <w:bCs w:val="0"/>
          <w:color w:val="auto"/>
          <w:spacing w:val="2"/>
          <w:sz w:val="31"/>
          <w:szCs w:val="31"/>
          <w:lang w:eastAsia="zh-CN"/>
        </w:rPr>
        <w:t>、</w:t>
      </w:r>
      <w:r>
        <w:rPr>
          <w:rFonts w:hint="eastAsia" w:ascii="黑体" w:hAnsi="黑体" w:eastAsia="黑体" w:cs="黑体"/>
          <w:b w:val="0"/>
          <w:bCs w:val="0"/>
          <w:color w:val="auto"/>
          <w:spacing w:val="2"/>
          <w:sz w:val="31"/>
          <w:szCs w:val="31"/>
        </w:rPr>
        <w:t>指导思想</w:t>
      </w:r>
      <w:bookmarkEnd w:id="22"/>
      <w:bookmarkEnd w:id="23"/>
      <w:bookmarkEnd w:id="24"/>
      <w:bookmarkEnd w:id="25"/>
    </w:p>
    <w:p w14:paraId="509A922F">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default" w:ascii="仿宋_GB2312" w:hAnsi="仿宋_GB2312" w:eastAsia="仿宋_GB2312" w:cs="仿宋_GB2312"/>
          <w:b w:val="0"/>
          <w:bCs w:val="0"/>
          <w:color w:val="auto"/>
          <w:spacing w:val="8"/>
          <w:sz w:val="32"/>
          <w:szCs w:val="32"/>
          <w:lang w:val="en-US" w:eastAsia="zh-CN"/>
        </w:rPr>
        <w:t>以习近平新时代中国特色社会主义思想为指引，全面贯彻</w:t>
      </w:r>
      <w:r>
        <w:rPr>
          <w:rFonts w:hint="eastAsia" w:ascii="仿宋_GB2312" w:hAnsi="仿宋_GB2312" w:eastAsia="仿宋_GB2312" w:cs="仿宋_GB2312"/>
          <w:b w:val="0"/>
          <w:bCs w:val="0"/>
          <w:color w:val="auto"/>
          <w:spacing w:val="8"/>
          <w:sz w:val="32"/>
          <w:szCs w:val="32"/>
          <w:lang w:val="en-US" w:eastAsia="zh-CN"/>
        </w:rPr>
        <w:t>党的二十大和二十届二中、三中全会精神</w:t>
      </w:r>
      <w:r>
        <w:rPr>
          <w:rFonts w:hint="default" w:ascii="仿宋_GB2312" w:hAnsi="仿宋_GB2312" w:eastAsia="仿宋_GB2312" w:cs="仿宋_GB2312"/>
          <w:b w:val="0"/>
          <w:bCs w:val="0"/>
          <w:color w:val="auto"/>
          <w:spacing w:val="8"/>
          <w:sz w:val="32"/>
          <w:szCs w:val="32"/>
          <w:lang w:val="en-US" w:eastAsia="zh-CN"/>
        </w:rPr>
        <w:t>，深入落实习近平总书记关于生态文明建设和生态环境保护的重要论述，特别是习近平总书记对甘肃重要讲话和指示精神，立足新发展阶段，完整、准确、全面贯彻新发展理念，构建新发展格局。坚持以人民为中心，以推动高质量发展为主题，以降碳、减污、扩绿、增长为总要求，将建筑垃圾污染防治工作融入甘州区经济社会发展全局。紧紧围绕筑牢西部生态安全屏障这一核心使命，秉持“源头减量、过程控制、末端利用”的全过程治理理念，强化法治保障、科技支撑、制度创新，着力破解建筑垃圾产生量大、资源化利用率低、环境污染风险高等突出问题，推动建筑垃圾治理体系和治理能力现代化，实现建筑垃圾减量化、资源化、无害化目标，为建设经济繁荣、生态宜居、社会和谐、人民幸福的现代化新甘州提供坚实的环境支撑。</w:t>
      </w:r>
    </w:p>
    <w:p w14:paraId="1FCA735A">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28" w:firstLineChars="200"/>
        <w:textAlignment w:val="baseline"/>
        <w:outlineLvl w:val="0"/>
        <w:rPr>
          <w:rFonts w:hint="eastAsia" w:ascii="黑体" w:hAnsi="黑体" w:eastAsia="黑体" w:cs="黑体"/>
          <w:b w:val="0"/>
          <w:bCs w:val="0"/>
          <w:color w:val="auto"/>
          <w:spacing w:val="2"/>
          <w:sz w:val="31"/>
          <w:szCs w:val="31"/>
        </w:rPr>
      </w:pPr>
      <w:bookmarkStart w:id="26" w:name="_Toc6734"/>
      <w:bookmarkStart w:id="27" w:name="_Toc14355"/>
      <w:bookmarkStart w:id="28" w:name="_Toc11202"/>
      <w:bookmarkStart w:id="29" w:name="_Toc19986"/>
      <w:r>
        <w:rPr>
          <w:rFonts w:hint="eastAsia" w:ascii="黑体" w:hAnsi="黑体" w:eastAsia="黑体" w:cs="黑体"/>
          <w:b w:val="0"/>
          <w:bCs w:val="0"/>
          <w:color w:val="auto"/>
          <w:spacing w:val="2"/>
          <w:sz w:val="31"/>
          <w:szCs w:val="31"/>
        </w:rPr>
        <w:t>三</w:t>
      </w:r>
      <w:r>
        <w:rPr>
          <w:rFonts w:hint="eastAsia" w:ascii="黑体" w:hAnsi="黑体" w:eastAsia="黑体" w:cs="黑体"/>
          <w:b w:val="0"/>
          <w:bCs w:val="0"/>
          <w:color w:val="auto"/>
          <w:spacing w:val="2"/>
          <w:sz w:val="31"/>
          <w:szCs w:val="31"/>
          <w:lang w:eastAsia="zh-CN"/>
        </w:rPr>
        <w:t>、</w:t>
      </w:r>
      <w:r>
        <w:rPr>
          <w:rFonts w:hint="eastAsia" w:ascii="黑体" w:hAnsi="黑体" w:eastAsia="黑体" w:cs="黑体"/>
          <w:b w:val="0"/>
          <w:bCs w:val="0"/>
          <w:color w:val="auto"/>
          <w:spacing w:val="2"/>
          <w:sz w:val="31"/>
          <w:szCs w:val="31"/>
        </w:rPr>
        <w:t>规划原则</w:t>
      </w:r>
      <w:bookmarkEnd w:id="26"/>
      <w:bookmarkEnd w:id="27"/>
      <w:bookmarkEnd w:id="28"/>
      <w:bookmarkEnd w:id="29"/>
    </w:p>
    <w:p w14:paraId="4DCF7D0D">
      <w:pPr>
        <w:keepNext w:val="0"/>
        <w:keepLines w:val="0"/>
        <w:pageBreakBefore w:val="0"/>
        <w:widowControl w:val="0"/>
        <w:kinsoku/>
        <w:wordWrap/>
        <w:overflowPunct/>
        <w:topLinePunct w:val="0"/>
        <w:autoSpaceDE w:val="0"/>
        <w:autoSpaceDN w:val="0"/>
        <w:bidi w:val="0"/>
        <w:adjustRightInd w:val="0"/>
        <w:snapToGrid w:val="0"/>
        <w:spacing w:line="560" w:lineRule="exact"/>
        <w:ind w:right="0" w:rightChars="0" w:firstLine="675" w:firstLineChars="200"/>
        <w:textAlignment w:val="baseline"/>
        <w:outlineLvl w:val="1"/>
        <w:rPr>
          <w:rFonts w:hint="default" w:ascii="楷体_GB2312" w:hAnsi="楷体_GB2312" w:eastAsia="楷体_GB2312" w:cs="楷体_GB2312"/>
          <w:b/>
          <w:bCs/>
          <w:color w:val="auto"/>
          <w:spacing w:val="8"/>
          <w:sz w:val="32"/>
          <w:szCs w:val="32"/>
          <w:lang w:val="en-US" w:eastAsia="zh-CN"/>
        </w:rPr>
      </w:pPr>
      <w:bookmarkStart w:id="30" w:name="_Toc26311"/>
      <w:bookmarkStart w:id="31" w:name="_Toc23944"/>
      <w:bookmarkStart w:id="32" w:name="_Toc11503"/>
      <w:bookmarkStart w:id="33" w:name="_Toc7792"/>
      <w:r>
        <w:rPr>
          <w:rFonts w:hint="eastAsia" w:ascii="楷体_GB2312" w:hAnsi="楷体_GB2312" w:eastAsia="楷体_GB2312" w:cs="楷体_GB2312"/>
          <w:b/>
          <w:bCs/>
          <w:color w:val="auto"/>
          <w:spacing w:val="8"/>
          <w:sz w:val="32"/>
          <w:szCs w:val="32"/>
          <w:lang w:eastAsia="zh-CN"/>
        </w:rPr>
        <w:t>（</w:t>
      </w:r>
      <w:r>
        <w:rPr>
          <w:rFonts w:hint="eastAsia" w:ascii="楷体_GB2312" w:hAnsi="楷体_GB2312" w:eastAsia="楷体_GB2312" w:cs="楷体_GB2312"/>
          <w:b/>
          <w:bCs/>
          <w:color w:val="auto"/>
          <w:spacing w:val="8"/>
          <w:sz w:val="32"/>
          <w:szCs w:val="32"/>
          <w:lang w:val="en-US" w:eastAsia="zh-CN"/>
        </w:rPr>
        <w:t>一）</w:t>
      </w:r>
      <w:r>
        <w:rPr>
          <w:rFonts w:hint="default" w:ascii="楷体_GB2312" w:hAnsi="楷体_GB2312" w:eastAsia="楷体_GB2312" w:cs="楷体_GB2312"/>
          <w:b/>
          <w:bCs/>
          <w:color w:val="auto"/>
          <w:spacing w:val="8"/>
          <w:sz w:val="32"/>
          <w:szCs w:val="32"/>
          <w:lang w:val="en-US" w:eastAsia="zh-CN"/>
        </w:rPr>
        <w:t>统筹协调，系统治理</w:t>
      </w:r>
      <w:bookmarkEnd w:id="30"/>
      <w:bookmarkEnd w:id="31"/>
      <w:bookmarkEnd w:id="32"/>
      <w:bookmarkEnd w:id="33"/>
    </w:p>
    <w:p w14:paraId="599D709A">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default" w:ascii="仿宋_GB2312" w:hAnsi="仿宋_GB2312" w:eastAsia="仿宋_GB2312" w:cs="仿宋_GB2312"/>
          <w:b w:val="0"/>
          <w:bCs w:val="0"/>
          <w:color w:val="auto"/>
          <w:spacing w:val="8"/>
          <w:sz w:val="32"/>
          <w:szCs w:val="32"/>
          <w:lang w:val="en-US" w:eastAsia="zh-CN"/>
        </w:rPr>
        <w:t>加强部门联动，整合资源，将建筑垃圾污染防治与城市建设、生态环境保护、产业发展等进行统筹规划。从建筑垃圾产生、运输、</w:t>
      </w:r>
      <w:r>
        <w:rPr>
          <w:rFonts w:hint="eastAsia" w:ascii="仿宋_GB2312" w:hAnsi="仿宋_GB2312" w:eastAsia="仿宋_GB2312" w:cs="仿宋_GB2312"/>
          <w:b w:val="0"/>
          <w:bCs w:val="0"/>
          <w:color w:val="auto"/>
          <w:spacing w:val="8"/>
          <w:sz w:val="32"/>
          <w:szCs w:val="32"/>
          <w:lang w:val="en-US" w:eastAsia="zh-CN"/>
        </w:rPr>
        <w:t>处置</w:t>
      </w:r>
      <w:r>
        <w:rPr>
          <w:rFonts w:hint="default" w:ascii="仿宋_GB2312" w:hAnsi="仿宋_GB2312" w:eastAsia="仿宋_GB2312" w:cs="仿宋_GB2312"/>
          <w:b w:val="0"/>
          <w:bCs w:val="0"/>
          <w:color w:val="auto"/>
          <w:spacing w:val="8"/>
          <w:sz w:val="32"/>
          <w:szCs w:val="32"/>
          <w:lang w:val="en-US" w:eastAsia="zh-CN"/>
        </w:rPr>
        <w:t>到资源化利用的全流程入手，建立健全全过程、全链条的协同治理机制，形成防治工作合力，实现建筑垃圾治理与区域经济社会发展的有机融合。</w:t>
      </w:r>
    </w:p>
    <w:p w14:paraId="52701A32">
      <w:pPr>
        <w:keepNext w:val="0"/>
        <w:keepLines w:val="0"/>
        <w:pageBreakBefore w:val="0"/>
        <w:widowControl w:val="0"/>
        <w:kinsoku/>
        <w:wordWrap/>
        <w:overflowPunct/>
        <w:topLinePunct w:val="0"/>
        <w:autoSpaceDE w:val="0"/>
        <w:autoSpaceDN w:val="0"/>
        <w:bidi w:val="0"/>
        <w:adjustRightInd w:val="0"/>
        <w:snapToGrid w:val="0"/>
        <w:spacing w:line="560" w:lineRule="exact"/>
        <w:ind w:right="0" w:rightChars="0" w:firstLine="675" w:firstLineChars="200"/>
        <w:textAlignment w:val="baseline"/>
        <w:outlineLvl w:val="1"/>
        <w:rPr>
          <w:rFonts w:hint="default" w:ascii="仿宋_GB2312" w:hAnsi="仿宋_GB2312" w:eastAsia="仿宋_GB2312" w:cs="仿宋_GB2312"/>
          <w:b/>
          <w:bCs/>
          <w:color w:val="auto"/>
          <w:spacing w:val="8"/>
          <w:sz w:val="32"/>
          <w:szCs w:val="32"/>
          <w:lang w:val="en-US" w:eastAsia="zh-CN"/>
        </w:rPr>
      </w:pPr>
      <w:bookmarkStart w:id="34" w:name="_Toc1265"/>
      <w:bookmarkStart w:id="35" w:name="_Toc7278"/>
      <w:bookmarkStart w:id="36" w:name="_Toc3042"/>
      <w:bookmarkStart w:id="37" w:name="_Toc27693"/>
      <w:r>
        <w:rPr>
          <w:rFonts w:hint="eastAsia" w:ascii="楷体_GB2312" w:hAnsi="楷体_GB2312" w:eastAsia="楷体_GB2312" w:cs="楷体_GB2312"/>
          <w:b/>
          <w:bCs/>
          <w:color w:val="auto"/>
          <w:spacing w:val="8"/>
          <w:sz w:val="32"/>
          <w:szCs w:val="32"/>
          <w:lang w:eastAsia="zh-CN"/>
        </w:rPr>
        <w:t>（</w:t>
      </w:r>
      <w:r>
        <w:rPr>
          <w:rFonts w:hint="eastAsia" w:ascii="楷体_GB2312" w:hAnsi="楷体_GB2312" w:eastAsia="楷体_GB2312" w:cs="楷体_GB2312"/>
          <w:b/>
          <w:bCs/>
          <w:color w:val="auto"/>
          <w:spacing w:val="8"/>
          <w:sz w:val="32"/>
          <w:szCs w:val="32"/>
          <w:lang w:val="en-US" w:eastAsia="zh-CN"/>
        </w:rPr>
        <w:t>二）</w:t>
      </w:r>
      <w:r>
        <w:rPr>
          <w:rFonts w:hint="default" w:ascii="楷体_GB2312" w:hAnsi="楷体_GB2312" w:eastAsia="楷体_GB2312" w:cs="楷体_GB2312"/>
          <w:b/>
          <w:bCs/>
          <w:color w:val="auto"/>
          <w:spacing w:val="8"/>
          <w:sz w:val="32"/>
          <w:szCs w:val="32"/>
          <w:lang w:val="en-US" w:eastAsia="zh-CN"/>
        </w:rPr>
        <w:t>源头控制，减量化优先</w:t>
      </w:r>
      <w:bookmarkEnd w:id="34"/>
      <w:bookmarkEnd w:id="35"/>
      <w:bookmarkEnd w:id="36"/>
      <w:bookmarkEnd w:id="37"/>
    </w:p>
    <w:p w14:paraId="11E7A639">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default" w:ascii="仿宋_GB2312" w:hAnsi="仿宋_GB2312" w:eastAsia="仿宋_GB2312" w:cs="仿宋_GB2312"/>
          <w:b w:val="0"/>
          <w:bCs w:val="0"/>
          <w:color w:val="auto"/>
          <w:spacing w:val="8"/>
          <w:sz w:val="32"/>
          <w:szCs w:val="32"/>
          <w:lang w:val="en-US" w:eastAsia="zh-CN"/>
        </w:rPr>
        <w:t>把源头减量作为建筑垃圾污染防治的首要任务，在城市规划、工程设计、施工管理等各个环节，通过优化建筑设计方案、推广绿色建筑标准、提高施工工艺水平等措施，最大程度减少建筑垃圾的产生量，从源头上降低后续处理压力。​</w:t>
      </w:r>
    </w:p>
    <w:p w14:paraId="6E928A88">
      <w:pPr>
        <w:keepNext w:val="0"/>
        <w:keepLines w:val="0"/>
        <w:pageBreakBefore w:val="0"/>
        <w:widowControl w:val="0"/>
        <w:kinsoku/>
        <w:wordWrap/>
        <w:overflowPunct/>
        <w:topLinePunct w:val="0"/>
        <w:autoSpaceDE w:val="0"/>
        <w:autoSpaceDN w:val="0"/>
        <w:bidi w:val="0"/>
        <w:adjustRightInd w:val="0"/>
        <w:snapToGrid w:val="0"/>
        <w:spacing w:line="560" w:lineRule="exact"/>
        <w:ind w:right="0" w:rightChars="0" w:firstLine="675" w:firstLineChars="200"/>
        <w:textAlignment w:val="baseline"/>
        <w:outlineLvl w:val="1"/>
        <w:rPr>
          <w:rFonts w:hint="default" w:ascii="楷体_GB2312" w:hAnsi="楷体_GB2312" w:eastAsia="楷体_GB2312" w:cs="楷体_GB2312"/>
          <w:b/>
          <w:bCs/>
          <w:color w:val="auto"/>
          <w:spacing w:val="8"/>
          <w:sz w:val="32"/>
          <w:szCs w:val="32"/>
          <w:lang w:val="en-US" w:eastAsia="zh-CN"/>
        </w:rPr>
      </w:pPr>
      <w:bookmarkStart w:id="38" w:name="_Toc1695"/>
      <w:bookmarkStart w:id="39" w:name="_Toc8325"/>
      <w:bookmarkStart w:id="40" w:name="_Toc24108"/>
      <w:bookmarkStart w:id="41" w:name="_Toc32275"/>
      <w:r>
        <w:rPr>
          <w:rFonts w:hint="eastAsia" w:ascii="楷体_GB2312" w:hAnsi="楷体_GB2312" w:eastAsia="楷体_GB2312" w:cs="楷体_GB2312"/>
          <w:b/>
          <w:bCs/>
          <w:color w:val="auto"/>
          <w:spacing w:val="8"/>
          <w:sz w:val="32"/>
          <w:szCs w:val="32"/>
          <w:lang w:eastAsia="zh-CN"/>
        </w:rPr>
        <w:t>（</w:t>
      </w:r>
      <w:r>
        <w:rPr>
          <w:rFonts w:hint="eastAsia" w:ascii="楷体_GB2312" w:hAnsi="楷体_GB2312" w:eastAsia="楷体_GB2312" w:cs="楷体_GB2312"/>
          <w:b/>
          <w:bCs/>
          <w:color w:val="auto"/>
          <w:spacing w:val="8"/>
          <w:sz w:val="32"/>
          <w:szCs w:val="32"/>
          <w:lang w:val="en-US" w:eastAsia="zh-CN"/>
        </w:rPr>
        <w:t>三）</w:t>
      </w:r>
      <w:r>
        <w:rPr>
          <w:rFonts w:hint="default" w:ascii="楷体_GB2312" w:hAnsi="楷体_GB2312" w:eastAsia="楷体_GB2312" w:cs="楷体_GB2312"/>
          <w:b/>
          <w:bCs/>
          <w:color w:val="auto"/>
          <w:spacing w:val="8"/>
          <w:sz w:val="32"/>
          <w:szCs w:val="32"/>
          <w:lang w:val="en-US" w:eastAsia="zh-CN"/>
        </w:rPr>
        <w:t>创新驱动，科技支撑</w:t>
      </w:r>
      <w:bookmarkEnd w:id="38"/>
      <w:bookmarkEnd w:id="39"/>
      <w:bookmarkEnd w:id="40"/>
      <w:bookmarkEnd w:id="41"/>
    </w:p>
    <w:p w14:paraId="6978BFAD">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default" w:ascii="仿宋_GB2312" w:hAnsi="仿宋_GB2312" w:eastAsia="仿宋_GB2312" w:cs="仿宋_GB2312"/>
          <w:b w:val="0"/>
          <w:bCs w:val="0"/>
          <w:color w:val="auto"/>
          <w:spacing w:val="8"/>
          <w:sz w:val="32"/>
          <w:szCs w:val="32"/>
          <w:lang w:val="en-US" w:eastAsia="zh-CN"/>
        </w:rPr>
        <w:t>积极引入新技术、新工艺、新设备，鼓励建筑垃圾资源化利用企业开展技术研发和创新应用。加强与科研院校、专业机构的合作，推动建筑垃圾处理技术的升级换代，提高资源化利用效率和污染防治水平，以科技创新引领建筑垃圾治理模式变革。​</w:t>
      </w:r>
    </w:p>
    <w:p w14:paraId="73C8A095">
      <w:pPr>
        <w:keepNext w:val="0"/>
        <w:keepLines w:val="0"/>
        <w:pageBreakBefore w:val="0"/>
        <w:widowControl w:val="0"/>
        <w:kinsoku/>
        <w:wordWrap/>
        <w:overflowPunct/>
        <w:topLinePunct w:val="0"/>
        <w:autoSpaceDE w:val="0"/>
        <w:autoSpaceDN w:val="0"/>
        <w:bidi w:val="0"/>
        <w:adjustRightInd w:val="0"/>
        <w:snapToGrid w:val="0"/>
        <w:spacing w:line="560" w:lineRule="exact"/>
        <w:ind w:right="0" w:rightChars="0" w:firstLine="675" w:firstLineChars="200"/>
        <w:textAlignment w:val="baseline"/>
        <w:outlineLvl w:val="1"/>
        <w:rPr>
          <w:rFonts w:hint="default" w:ascii="楷体_GB2312" w:hAnsi="楷体_GB2312" w:eastAsia="楷体_GB2312" w:cs="楷体_GB2312"/>
          <w:b/>
          <w:bCs/>
          <w:color w:val="auto"/>
          <w:spacing w:val="8"/>
          <w:sz w:val="32"/>
          <w:szCs w:val="32"/>
          <w:lang w:val="en-US" w:eastAsia="zh-CN"/>
        </w:rPr>
      </w:pPr>
      <w:bookmarkStart w:id="42" w:name="_Toc20911"/>
      <w:bookmarkStart w:id="43" w:name="_Toc16106"/>
      <w:bookmarkStart w:id="44" w:name="_Toc30012"/>
      <w:bookmarkStart w:id="45" w:name="_Toc7885"/>
      <w:r>
        <w:rPr>
          <w:rFonts w:hint="eastAsia" w:ascii="楷体_GB2312" w:hAnsi="楷体_GB2312" w:eastAsia="楷体_GB2312" w:cs="楷体_GB2312"/>
          <w:b/>
          <w:bCs/>
          <w:color w:val="auto"/>
          <w:spacing w:val="8"/>
          <w:sz w:val="32"/>
          <w:szCs w:val="32"/>
          <w:lang w:eastAsia="zh-CN"/>
        </w:rPr>
        <w:t>（</w:t>
      </w:r>
      <w:r>
        <w:rPr>
          <w:rFonts w:hint="eastAsia" w:ascii="楷体_GB2312" w:hAnsi="楷体_GB2312" w:eastAsia="楷体_GB2312" w:cs="楷体_GB2312"/>
          <w:b/>
          <w:bCs/>
          <w:color w:val="auto"/>
          <w:spacing w:val="8"/>
          <w:sz w:val="32"/>
          <w:szCs w:val="32"/>
          <w:lang w:val="en-US" w:eastAsia="zh-CN"/>
        </w:rPr>
        <w:t>四）</w:t>
      </w:r>
      <w:r>
        <w:rPr>
          <w:rFonts w:hint="default" w:ascii="楷体_GB2312" w:hAnsi="楷体_GB2312" w:eastAsia="楷体_GB2312" w:cs="楷体_GB2312"/>
          <w:b/>
          <w:bCs/>
          <w:color w:val="auto"/>
          <w:spacing w:val="8"/>
          <w:sz w:val="32"/>
          <w:szCs w:val="32"/>
          <w:lang w:val="en-US" w:eastAsia="zh-CN"/>
        </w:rPr>
        <w:t>依法监管，严格执法</w:t>
      </w:r>
      <w:bookmarkEnd w:id="42"/>
      <w:bookmarkEnd w:id="43"/>
      <w:bookmarkEnd w:id="44"/>
      <w:bookmarkEnd w:id="45"/>
    </w:p>
    <w:p w14:paraId="0D76A5DD">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default" w:ascii="仿宋_GB2312" w:hAnsi="仿宋_GB2312" w:eastAsia="仿宋_GB2312" w:cs="仿宋_GB2312"/>
          <w:b w:val="0"/>
          <w:bCs w:val="0"/>
          <w:color w:val="auto"/>
          <w:spacing w:val="8"/>
          <w:sz w:val="32"/>
          <w:szCs w:val="32"/>
          <w:lang w:val="en-US" w:eastAsia="zh-CN"/>
        </w:rPr>
        <w:t>严格执行国家和地方关于建筑垃圾管理的法律法规，完善地方配套制度和标准规范。加强执法队伍建设，加大执法监管力度，严厉打击建筑垃圾非法倾倒、运输撒漏、违规处置等违法行为，确保建筑垃圾污染防治工作在法治轨道上有序推进。​</w:t>
      </w:r>
    </w:p>
    <w:p w14:paraId="0DF25F49">
      <w:pPr>
        <w:keepNext w:val="0"/>
        <w:keepLines w:val="0"/>
        <w:pageBreakBefore w:val="0"/>
        <w:widowControl w:val="0"/>
        <w:kinsoku/>
        <w:wordWrap/>
        <w:overflowPunct/>
        <w:topLinePunct w:val="0"/>
        <w:autoSpaceDE w:val="0"/>
        <w:autoSpaceDN w:val="0"/>
        <w:bidi w:val="0"/>
        <w:adjustRightInd w:val="0"/>
        <w:snapToGrid w:val="0"/>
        <w:spacing w:line="560" w:lineRule="exact"/>
        <w:ind w:right="0" w:rightChars="0" w:firstLine="675" w:firstLineChars="200"/>
        <w:textAlignment w:val="baseline"/>
        <w:outlineLvl w:val="1"/>
        <w:rPr>
          <w:rFonts w:hint="default" w:ascii="楷体_GB2312" w:hAnsi="楷体_GB2312" w:eastAsia="楷体_GB2312" w:cs="楷体_GB2312"/>
          <w:b/>
          <w:bCs/>
          <w:color w:val="auto"/>
          <w:spacing w:val="8"/>
          <w:sz w:val="32"/>
          <w:szCs w:val="32"/>
          <w:lang w:val="en-US" w:eastAsia="zh-CN"/>
        </w:rPr>
      </w:pPr>
      <w:bookmarkStart w:id="46" w:name="_Toc142"/>
      <w:bookmarkStart w:id="47" w:name="_Toc21703"/>
      <w:bookmarkStart w:id="48" w:name="_Toc4702"/>
      <w:bookmarkStart w:id="49" w:name="_Toc23962"/>
      <w:r>
        <w:rPr>
          <w:rFonts w:hint="eastAsia" w:ascii="楷体_GB2312" w:hAnsi="楷体_GB2312" w:eastAsia="楷体_GB2312" w:cs="楷体_GB2312"/>
          <w:b/>
          <w:bCs/>
          <w:color w:val="auto"/>
          <w:spacing w:val="8"/>
          <w:sz w:val="32"/>
          <w:szCs w:val="32"/>
          <w:lang w:eastAsia="zh-CN"/>
        </w:rPr>
        <w:t>（</w:t>
      </w:r>
      <w:r>
        <w:rPr>
          <w:rFonts w:hint="eastAsia" w:ascii="楷体_GB2312" w:hAnsi="楷体_GB2312" w:eastAsia="楷体_GB2312" w:cs="楷体_GB2312"/>
          <w:b/>
          <w:bCs/>
          <w:color w:val="auto"/>
          <w:spacing w:val="8"/>
          <w:sz w:val="32"/>
          <w:szCs w:val="32"/>
          <w:lang w:val="en-US" w:eastAsia="zh-CN"/>
        </w:rPr>
        <w:t>五）</w:t>
      </w:r>
      <w:r>
        <w:rPr>
          <w:rFonts w:hint="default" w:ascii="楷体_GB2312" w:hAnsi="楷体_GB2312" w:eastAsia="楷体_GB2312" w:cs="楷体_GB2312"/>
          <w:b/>
          <w:bCs/>
          <w:color w:val="auto"/>
          <w:spacing w:val="8"/>
          <w:sz w:val="32"/>
          <w:szCs w:val="32"/>
          <w:lang w:val="en-US" w:eastAsia="zh-CN"/>
        </w:rPr>
        <w:t>公众参与，</w:t>
      </w:r>
      <w:r>
        <w:rPr>
          <w:rFonts w:hint="eastAsia" w:ascii="楷体_GB2312" w:hAnsi="楷体_GB2312" w:eastAsia="楷体_GB2312" w:cs="楷体_GB2312"/>
          <w:b/>
          <w:bCs/>
          <w:color w:val="auto"/>
          <w:spacing w:val="8"/>
          <w:sz w:val="32"/>
          <w:szCs w:val="32"/>
          <w:lang w:val="en-US" w:eastAsia="zh-CN"/>
        </w:rPr>
        <w:t>共治</w:t>
      </w:r>
      <w:r>
        <w:rPr>
          <w:rFonts w:hint="default" w:ascii="楷体_GB2312" w:hAnsi="楷体_GB2312" w:eastAsia="楷体_GB2312" w:cs="楷体_GB2312"/>
          <w:b/>
          <w:bCs/>
          <w:color w:val="auto"/>
          <w:spacing w:val="8"/>
          <w:sz w:val="32"/>
          <w:szCs w:val="32"/>
          <w:lang w:val="en-US" w:eastAsia="zh-CN"/>
        </w:rPr>
        <w:t>共享</w:t>
      </w:r>
      <w:bookmarkEnd w:id="46"/>
      <w:bookmarkEnd w:id="47"/>
      <w:bookmarkEnd w:id="48"/>
      <w:bookmarkEnd w:id="49"/>
    </w:p>
    <w:p w14:paraId="72FB84B2">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default" w:ascii="仿宋_GB2312" w:hAnsi="仿宋_GB2312" w:eastAsia="仿宋_GB2312" w:cs="仿宋_GB2312"/>
          <w:b w:val="0"/>
          <w:bCs w:val="0"/>
          <w:color w:val="auto"/>
          <w:spacing w:val="8"/>
          <w:sz w:val="32"/>
          <w:szCs w:val="32"/>
          <w:lang w:val="en-US" w:eastAsia="zh-CN"/>
        </w:rPr>
        <w:t>强化宣传教育，提高公众对建筑垃圾污染防治重要性的认识，增强公众环保意识和参与意识。建立健全公众参与机制，鼓励社会组织、企业和居民积极参与建筑垃圾治理，形成政府主导、企业主体、社会组织和公众共同参与的共建共享格局。</w:t>
      </w:r>
    </w:p>
    <w:p w14:paraId="4494C403">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28" w:firstLineChars="200"/>
        <w:textAlignment w:val="baseline"/>
        <w:outlineLvl w:val="0"/>
        <w:rPr>
          <w:rFonts w:hint="eastAsia" w:ascii="黑体" w:hAnsi="黑体" w:eastAsia="黑体" w:cs="黑体"/>
          <w:b w:val="0"/>
          <w:bCs w:val="0"/>
          <w:color w:val="auto"/>
          <w:spacing w:val="2"/>
          <w:sz w:val="31"/>
          <w:szCs w:val="31"/>
        </w:rPr>
      </w:pPr>
      <w:bookmarkStart w:id="50" w:name="_Toc4086"/>
      <w:bookmarkStart w:id="51" w:name="_Toc22392"/>
      <w:bookmarkStart w:id="52" w:name="_Toc23350"/>
      <w:bookmarkStart w:id="53" w:name="_Toc11827"/>
      <w:r>
        <w:rPr>
          <w:rFonts w:hint="eastAsia" w:ascii="黑体" w:hAnsi="黑体" w:eastAsia="黑体" w:cs="黑体"/>
          <w:b w:val="0"/>
          <w:bCs w:val="0"/>
          <w:color w:val="auto"/>
          <w:spacing w:val="2"/>
          <w:sz w:val="31"/>
          <w:szCs w:val="31"/>
        </w:rPr>
        <w:t>四</w:t>
      </w:r>
      <w:r>
        <w:rPr>
          <w:rFonts w:hint="eastAsia" w:ascii="黑体" w:hAnsi="黑体" w:eastAsia="黑体" w:cs="黑体"/>
          <w:b w:val="0"/>
          <w:bCs w:val="0"/>
          <w:color w:val="auto"/>
          <w:spacing w:val="2"/>
          <w:sz w:val="31"/>
          <w:szCs w:val="31"/>
          <w:lang w:eastAsia="zh-CN"/>
        </w:rPr>
        <w:t>、</w:t>
      </w:r>
      <w:r>
        <w:rPr>
          <w:rFonts w:hint="eastAsia" w:ascii="黑体" w:hAnsi="黑体" w:eastAsia="黑体" w:cs="黑体"/>
          <w:b w:val="0"/>
          <w:bCs w:val="0"/>
          <w:color w:val="auto"/>
          <w:spacing w:val="2"/>
          <w:sz w:val="31"/>
          <w:szCs w:val="31"/>
        </w:rPr>
        <w:t>规划依据</w:t>
      </w:r>
      <w:bookmarkEnd w:id="50"/>
      <w:bookmarkEnd w:id="51"/>
      <w:bookmarkEnd w:id="52"/>
      <w:bookmarkEnd w:id="53"/>
    </w:p>
    <w:p w14:paraId="097C1B60">
      <w:pPr>
        <w:keepNext w:val="0"/>
        <w:keepLines w:val="0"/>
        <w:pageBreakBefore w:val="0"/>
        <w:widowControl w:val="0"/>
        <w:kinsoku/>
        <w:wordWrap/>
        <w:overflowPunct/>
        <w:topLinePunct w:val="0"/>
        <w:autoSpaceDE w:val="0"/>
        <w:autoSpaceDN w:val="0"/>
        <w:bidi w:val="0"/>
        <w:adjustRightInd w:val="0"/>
        <w:snapToGrid w:val="0"/>
        <w:spacing w:line="560" w:lineRule="exact"/>
        <w:ind w:right="0" w:rightChars="0" w:firstLine="675" w:firstLineChars="200"/>
        <w:textAlignment w:val="baseline"/>
        <w:outlineLvl w:val="1"/>
        <w:rPr>
          <w:rFonts w:hint="default" w:ascii="仿宋_GB2312" w:hAnsi="仿宋_GB2312" w:eastAsia="仿宋_GB2312" w:cs="仿宋_GB2312"/>
          <w:b w:val="0"/>
          <w:bCs w:val="0"/>
          <w:color w:val="auto"/>
          <w:spacing w:val="8"/>
          <w:sz w:val="32"/>
          <w:szCs w:val="32"/>
          <w:lang w:val="en-US" w:eastAsia="zh-CN"/>
        </w:rPr>
      </w:pPr>
      <w:bookmarkStart w:id="54" w:name="_Toc9001"/>
      <w:bookmarkStart w:id="55" w:name="_Toc10140"/>
      <w:bookmarkStart w:id="56" w:name="_Toc9463"/>
      <w:bookmarkStart w:id="57" w:name="_Toc1442"/>
      <w:r>
        <w:rPr>
          <w:rFonts w:hint="eastAsia" w:ascii="楷体_GB2312" w:hAnsi="楷体_GB2312" w:eastAsia="楷体_GB2312" w:cs="楷体_GB2312"/>
          <w:b/>
          <w:bCs/>
          <w:color w:val="auto"/>
          <w:spacing w:val="8"/>
          <w:sz w:val="32"/>
          <w:szCs w:val="32"/>
          <w:lang w:eastAsia="zh-CN"/>
        </w:rPr>
        <w:t>（</w:t>
      </w:r>
      <w:r>
        <w:rPr>
          <w:rFonts w:hint="eastAsia" w:ascii="楷体_GB2312" w:hAnsi="楷体_GB2312" w:eastAsia="楷体_GB2312" w:cs="楷体_GB2312"/>
          <w:b/>
          <w:bCs/>
          <w:color w:val="auto"/>
          <w:spacing w:val="8"/>
          <w:sz w:val="32"/>
          <w:szCs w:val="32"/>
          <w:lang w:val="en-US" w:eastAsia="zh-CN"/>
        </w:rPr>
        <w:t>一）</w:t>
      </w:r>
      <w:r>
        <w:rPr>
          <w:rFonts w:hint="default" w:ascii="楷体_GB2312" w:hAnsi="楷体_GB2312" w:eastAsia="楷体_GB2312" w:cs="楷体_GB2312"/>
          <w:b/>
          <w:bCs/>
          <w:color w:val="auto"/>
          <w:spacing w:val="8"/>
          <w:sz w:val="32"/>
          <w:szCs w:val="32"/>
          <w:lang w:val="en-US" w:eastAsia="zh-CN"/>
        </w:rPr>
        <w:t>法律法规</w:t>
      </w:r>
      <w:r>
        <w:rPr>
          <w:rFonts w:hint="default" w:ascii="仿宋_GB2312" w:hAnsi="仿宋_GB2312" w:eastAsia="仿宋_GB2312" w:cs="仿宋_GB2312"/>
          <w:b w:val="0"/>
          <w:bCs w:val="0"/>
          <w:color w:val="auto"/>
          <w:spacing w:val="8"/>
          <w:sz w:val="32"/>
          <w:szCs w:val="32"/>
          <w:lang w:val="en-US" w:eastAsia="zh-CN"/>
        </w:rPr>
        <w:t>​​</w:t>
      </w:r>
      <w:bookmarkEnd w:id="54"/>
      <w:bookmarkEnd w:id="55"/>
      <w:bookmarkEnd w:id="56"/>
      <w:bookmarkEnd w:id="57"/>
    </w:p>
    <w:p w14:paraId="736F4E9F">
      <w:pPr>
        <w:keepNext w:val="0"/>
        <w:keepLines w:val="0"/>
        <w:pageBreakBefore w:val="0"/>
        <w:widowControl w:val="0"/>
        <w:kinsoku/>
        <w:wordWrap w:val="0"/>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1.</w:t>
      </w:r>
      <w:r>
        <w:rPr>
          <w:rFonts w:hint="default" w:ascii="仿宋_GB2312" w:hAnsi="仿宋_GB2312" w:eastAsia="仿宋_GB2312" w:cs="仿宋_GB2312"/>
          <w:b w:val="0"/>
          <w:bCs w:val="0"/>
          <w:color w:val="auto"/>
          <w:spacing w:val="8"/>
          <w:sz w:val="32"/>
          <w:szCs w:val="32"/>
          <w:lang w:val="en-US" w:eastAsia="zh-CN"/>
        </w:rPr>
        <w:t>《中华人民共和国固体废物污染环境防治法》（202</w:t>
      </w:r>
      <w:r>
        <w:rPr>
          <w:rFonts w:hint="eastAsia" w:ascii="仿宋_GB2312" w:hAnsi="仿宋_GB2312" w:eastAsia="仿宋_GB2312" w:cs="仿宋_GB2312"/>
          <w:b w:val="0"/>
          <w:bCs w:val="0"/>
          <w:color w:val="auto"/>
          <w:spacing w:val="8"/>
          <w:sz w:val="32"/>
          <w:szCs w:val="32"/>
          <w:lang w:val="en-US" w:eastAsia="zh-CN"/>
        </w:rPr>
        <w:t>0年修订</w:t>
      </w:r>
      <w:r>
        <w:rPr>
          <w:rFonts w:hint="default" w:ascii="仿宋_GB2312" w:hAnsi="仿宋_GB2312" w:eastAsia="仿宋_GB2312" w:cs="仿宋_GB2312"/>
          <w:b w:val="0"/>
          <w:bCs w:val="0"/>
          <w:color w:val="auto"/>
          <w:spacing w:val="8"/>
          <w:sz w:val="32"/>
          <w:szCs w:val="32"/>
          <w:lang w:val="en-US" w:eastAsia="zh-CN"/>
        </w:rPr>
        <w:t>）​</w:t>
      </w:r>
    </w:p>
    <w:p w14:paraId="72D57FBD">
      <w:pPr>
        <w:keepNext w:val="0"/>
        <w:keepLines w:val="0"/>
        <w:pageBreakBefore w:val="0"/>
        <w:widowControl w:val="0"/>
        <w:kinsoku/>
        <w:wordWrap w:val="0"/>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2.</w:t>
      </w:r>
      <w:r>
        <w:rPr>
          <w:rFonts w:hint="default" w:ascii="仿宋_GB2312" w:hAnsi="仿宋_GB2312" w:eastAsia="仿宋_GB2312" w:cs="仿宋_GB2312"/>
          <w:b w:val="0"/>
          <w:bCs w:val="0"/>
          <w:color w:val="auto"/>
          <w:spacing w:val="8"/>
          <w:sz w:val="32"/>
          <w:szCs w:val="32"/>
          <w:lang w:val="en-US" w:eastAsia="zh-CN"/>
        </w:rPr>
        <w:t>《中华人民共和国环境保护法》（2014</w:t>
      </w:r>
      <w:r>
        <w:rPr>
          <w:rFonts w:hint="eastAsia" w:ascii="仿宋_GB2312" w:hAnsi="仿宋_GB2312" w:eastAsia="仿宋_GB2312" w:cs="仿宋_GB2312"/>
          <w:b w:val="0"/>
          <w:bCs w:val="0"/>
          <w:color w:val="auto"/>
          <w:spacing w:val="8"/>
          <w:sz w:val="32"/>
          <w:szCs w:val="32"/>
          <w:lang w:val="en-US" w:eastAsia="zh-CN"/>
        </w:rPr>
        <w:t>年修订</w:t>
      </w:r>
      <w:r>
        <w:rPr>
          <w:rFonts w:hint="default" w:ascii="仿宋_GB2312" w:hAnsi="仿宋_GB2312" w:eastAsia="仿宋_GB2312" w:cs="仿宋_GB2312"/>
          <w:b w:val="0"/>
          <w:bCs w:val="0"/>
          <w:color w:val="auto"/>
          <w:spacing w:val="8"/>
          <w:sz w:val="32"/>
          <w:szCs w:val="32"/>
          <w:lang w:val="en-US" w:eastAsia="zh-CN"/>
        </w:rPr>
        <w:t>）</w:t>
      </w:r>
    </w:p>
    <w:p w14:paraId="1A1091B1">
      <w:pPr>
        <w:keepNext w:val="0"/>
        <w:keepLines w:val="0"/>
        <w:pageBreakBefore w:val="0"/>
        <w:widowControl w:val="0"/>
        <w:kinsoku/>
        <w:wordWrap w:val="0"/>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3.</w:t>
      </w:r>
      <w:r>
        <w:rPr>
          <w:rFonts w:hint="default" w:ascii="仿宋_GB2312" w:hAnsi="仿宋_GB2312" w:eastAsia="仿宋_GB2312" w:cs="仿宋_GB2312"/>
          <w:b w:val="0"/>
          <w:bCs w:val="0"/>
          <w:color w:val="auto"/>
          <w:spacing w:val="8"/>
          <w:sz w:val="32"/>
          <w:szCs w:val="32"/>
          <w:lang w:val="en-US" w:eastAsia="zh-CN"/>
        </w:rPr>
        <w:t>《中华人民共和国城乡规划法》（2019</w:t>
      </w:r>
      <w:r>
        <w:rPr>
          <w:rFonts w:hint="eastAsia" w:ascii="仿宋_GB2312" w:hAnsi="仿宋_GB2312" w:eastAsia="仿宋_GB2312" w:cs="仿宋_GB2312"/>
          <w:b w:val="0"/>
          <w:bCs w:val="0"/>
          <w:color w:val="auto"/>
          <w:spacing w:val="8"/>
          <w:sz w:val="32"/>
          <w:szCs w:val="32"/>
          <w:lang w:val="en-US" w:eastAsia="zh-CN"/>
        </w:rPr>
        <w:t>年修订</w:t>
      </w:r>
      <w:r>
        <w:rPr>
          <w:rFonts w:hint="default" w:ascii="仿宋_GB2312" w:hAnsi="仿宋_GB2312" w:eastAsia="仿宋_GB2312" w:cs="仿宋_GB2312"/>
          <w:b w:val="0"/>
          <w:bCs w:val="0"/>
          <w:color w:val="auto"/>
          <w:spacing w:val="8"/>
          <w:sz w:val="32"/>
          <w:szCs w:val="32"/>
          <w:lang w:val="en-US" w:eastAsia="zh-CN"/>
        </w:rPr>
        <w:t>）</w:t>
      </w:r>
    </w:p>
    <w:p w14:paraId="3D3DD23E">
      <w:pPr>
        <w:keepNext w:val="0"/>
        <w:keepLines w:val="0"/>
        <w:pageBreakBefore w:val="0"/>
        <w:widowControl w:val="0"/>
        <w:kinsoku/>
        <w:wordWrap w:val="0"/>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4.</w:t>
      </w:r>
      <w:r>
        <w:rPr>
          <w:rFonts w:hint="default" w:ascii="仿宋_GB2312" w:hAnsi="仿宋_GB2312" w:eastAsia="仿宋_GB2312" w:cs="仿宋_GB2312"/>
          <w:b w:val="0"/>
          <w:bCs w:val="0"/>
          <w:color w:val="auto"/>
          <w:spacing w:val="8"/>
          <w:sz w:val="32"/>
          <w:szCs w:val="32"/>
          <w:lang w:val="en-US" w:eastAsia="zh-CN"/>
        </w:rPr>
        <w:t>《中华人民共和国大气污染防治法》（20</w:t>
      </w:r>
      <w:r>
        <w:rPr>
          <w:rFonts w:hint="eastAsia" w:ascii="仿宋_GB2312" w:hAnsi="仿宋_GB2312" w:eastAsia="仿宋_GB2312" w:cs="仿宋_GB2312"/>
          <w:b w:val="0"/>
          <w:bCs w:val="0"/>
          <w:color w:val="auto"/>
          <w:spacing w:val="8"/>
          <w:sz w:val="32"/>
          <w:szCs w:val="32"/>
          <w:lang w:val="en-US" w:eastAsia="zh-CN"/>
        </w:rPr>
        <w:t>18年修订</w:t>
      </w:r>
      <w:r>
        <w:rPr>
          <w:rFonts w:hint="default" w:ascii="仿宋_GB2312" w:hAnsi="仿宋_GB2312" w:eastAsia="仿宋_GB2312" w:cs="仿宋_GB2312"/>
          <w:b w:val="0"/>
          <w:bCs w:val="0"/>
          <w:color w:val="auto"/>
          <w:spacing w:val="8"/>
          <w:sz w:val="32"/>
          <w:szCs w:val="32"/>
          <w:lang w:val="en-US" w:eastAsia="zh-CN"/>
        </w:rPr>
        <w:t>）</w:t>
      </w:r>
    </w:p>
    <w:p w14:paraId="25B67329">
      <w:pPr>
        <w:keepNext w:val="0"/>
        <w:keepLines w:val="0"/>
        <w:pageBreakBefore w:val="0"/>
        <w:widowControl w:val="0"/>
        <w:kinsoku/>
        <w:wordWrap w:val="0"/>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5.</w:t>
      </w:r>
      <w:r>
        <w:rPr>
          <w:rFonts w:hint="default" w:ascii="仿宋_GB2312" w:hAnsi="仿宋_GB2312" w:eastAsia="仿宋_GB2312" w:cs="仿宋_GB2312"/>
          <w:b w:val="0"/>
          <w:bCs w:val="0"/>
          <w:color w:val="auto"/>
          <w:spacing w:val="8"/>
          <w:sz w:val="32"/>
          <w:szCs w:val="32"/>
          <w:lang w:val="en-US" w:eastAsia="zh-CN"/>
        </w:rPr>
        <w:t>《中华人民共和国水污染防治法》（20</w:t>
      </w:r>
      <w:r>
        <w:rPr>
          <w:rFonts w:hint="eastAsia" w:ascii="仿宋_GB2312" w:hAnsi="仿宋_GB2312" w:eastAsia="仿宋_GB2312" w:cs="仿宋_GB2312"/>
          <w:b w:val="0"/>
          <w:bCs w:val="0"/>
          <w:color w:val="auto"/>
          <w:spacing w:val="8"/>
          <w:sz w:val="32"/>
          <w:szCs w:val="32"/>
          <w:lang w:val="en-US" w:eastAsia="zh-CN"/>
        </w:rPr>
        <w:t>17年</w:t>
      </w:r>
      <w:r>
        <w:rPr>
          <w:rFonts w:hint="default" w:ascii="仿宋_GB2312" w:hAnsi="仿宋_GB2312" w:eastAsia="仿宋_GB2312" w:cs="仿宋_GB2312"/>
          <w:b w:val="0"/>
          <w:bCs w:val="0"/>
          <w:color w:val="auto"/>
          <w:spacing w:val="8"/>
          <w:sz w:val="32"/>
          <w:szCs w:val="32"/>
          <w:lang w:val="en-US" w:eastAsia="zh-CN"/>
        </w:rPr>
        <w:t>修</w:t>
      </w:r>
      <w:r>
        <w:rPr>
          <w:rFonts w:hint="eastAsia" w:ascii="仿宋_GB2312" w:hAnsi="仿宋_GB2312" w:eastAsia="仿宋_GB2312" w:cs="仿宋_GB2312"/>
          <w:b w:val="0"/>
          <w:bCs w:val="0"/>
          <w:color w:val="auto"/>
          <w:spacing w:val="8"/>
          <w:sz w:val="32"/>
          <w:szCs w:val="32"/>
          <w:lang w:val="en-US" w:eastAsia="zh-CN"/>
        </w:rPr>
        <w:t>订</w:t>
      </w:r>
      <w:r>
        <w:rPr>
          <w:rFonts w:hint="default" w:ascii="仿宋_GB2312" w:hAnsi="仿宋_GB2312" w:eastAsia="仿宋_GB2312" w:cs="仿宋_GB2312"/>
          <w:b w:val="0"/>
          <w:bCs w:val="0"/>
          <w:color w:val="auto"/>
          <w:spacing w:val="8"/>
          <w:sz w:val="32"/>
          <w:szCs w:val="32"/>
          <w:lang w:val="en-US" w:eastAsia="zh-CN"/>
        </w:rPr>
        <w:t>）</w:t>
      </w:r>
    </w:p>
    <w:p w14:paraId="1B803605">
      <w:pPr>
        <w:keepNext w:val="0"/>
        <w:keepLines w:val="0"/>
        <w:pageBreakBefore w:val="0"/>
        <w:widowControl w:val="0"/>
        <w:kinsoku/>
        <w:wordWrap w:val="0"/>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6.</w:t>
      </w:r>
      <w:r>
        <w:rPr>
          <w:rFonts w:hint="default" w:ascii="仿宋_GB2312" w:hAnsi="仿宋_GB2312" w:eastAsia="仿宋_GB2312" w:cs="仿宋_GB2312"/>
          <w:b w:val="0"/>
          <w:bCs w:val="0"/>
          <w:color w:val="auto"/>
          <w:spacing w:val="8"/>
          <w:sz w:val="32"/>
          <w:szCs w:val="32"/>
          <w:lang w:val="en-US" w:eastAsia="zh-CN"/>
        </w:rPr>
        <w:t>《中华人民共和国土壤污染防治法》（2018年）</w:t>
      </w:r>
    </w:p>
    <w:p w14:paraId="139B8A39">
      <w:pPr>
        <w:keepNext w:val="0"/>
        <w:keepLines w:val="0"/>
        <w:pageBreakBefore w:val="0"/>
        <w:widowControl w:val="0"/>
        <w:kinsoku/>
        <w:wordWrap w:val="0"/>
        <w:overflowPunct/>
        <w:topLinePunct w:val="0"/>
        <w:autoSpaceDE w:val="0"/>
        <w:autoSpaceDN w:val="0"/>
        <w:bidi w:val="0"/>
        <w:adjustRightInd w:val="0"/>
        <w:snapToGrid w:val="0"/>
        <w:spacing w:line="560" w:lineRule="exact"/>
        <w:ind w:right="0" w:firstLine="672" w:firstLineChars="200"/>
        <w:textAlignment w:val="baseline"/>
        <w:rPr>
          <w:rFonts w:hint="eastAsia"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7.</w:t>
      </w:r>
      <w:r>
        <w:rPr>
          <w:rFonts w:hint="default" w:ascii="仿宋_GB2312" w:hAnsi="仿宋_GB2312" w:eastAsia="仿宋_GB2312" w:cs="仿宋_GB2312"/>
          <w:b w:val="0"/>
          <w:bCs w:val="0"/>
          <w:color w:val="auto"/>
          <w:spacing w:val="8"/>
          <w:sz w:val="32"/>
          <w:szCs w:val="32"/>
          <w:lang w:val="en-US" w:eastAsia="zh-CN"/>
        </w:rPr>
        <w:t>《中华人民共和国循环经济促进法》</w:t>
      </w:r>
      <w:r>
        <w:rPr>
          <w:rFonts w:hint="eastAsia" w:ascii="仿宋_GB2312" w:hAnsi="仿宋_GB2312" w:eastAsia="仿宋_GB2312" w:cs="仿宋_GB2312"/>
          <w:b w:val="0"/>
          <w:bCs w:val="0"/>
          <w:color w:val="auto"/>
          <w:spacing w:val="8"/>
          <w:sz w:val="32"/>
          <w:szCs w:val="32"/>
          <w:lang w:val="en-US" w:eastAsia="zh-CN"/>
        </w:rPr>
        <w:t>（2018年</w:t>
      </w:r>
      <w:r>
        <w:rPr>
          <w:rFonts w:hint="default" w:ascii="仿宋_GB2312" w:hAnsi="仿宋_GB2312" w:eastAsia="仿宋_GB2312" w:cs="仿宋_GB2312"/>
          <w:b w:val="0"/>
          <w:bCs w:val="0"/>
          <w:color w:val="auto"/>
          <w:spacing w:val="8"/>
          <w:sz w:val="32"/>
          <w:szCs w:val="32"/>
          <w:lang w:val="en-US" w:eastAsia="zh-CN"/>
        </w:rPr>
        <w:t>修</w:t>
      </w:r>
      <w:r>
        <w:rPr>
          <w:rFonts w:hint="eastAsia" w:ascii="仿宋_GB2312" w:hAnsi="仿宋_GB2312" w:eastAsia="仿宋_GB2312" w:cs="仿宋_GB2312"/>
          <w:b w:val="0"/>
          <w:bCs w:val="0"/>
          <w:color w:val="auto"/>
          <w:spacing w:val="8"/>
          <w:sz w:val="32"/>
          <w:szCs w:val="32"/>
          <w:lang w:val="en-US" w:eastAsia="zh-CN"/>
        </w:rPr>
        <w:t>订</w:t>
      </w:r>
      <w:r>
        <w:rPr>
          <w:rFonts w:hint="default" w:ascii="仿宋_GB2312" w:hAnsi="仿宋_GB2312" w:eastAsia="仿宋_GB2312" w:cs="仿宋_GB2312"/>
          <w:b w:val="0"/>
          <w:bCs w:val="0"/>
          <w:color w:val="auto"/>
          <w:spacing w:val="8"/>
          <w:sz w:val="32"/>
          <w:szCs w:val="32"/>
          <w:lang w:val="en-US" w:eastAsia="zh-CN"/>
        </w:rPr>
        <w:t>）</w:t>
      </w:r>
    </w:p>
    <w:p w14:paraId="6E9D27CB">
      <w:pPr>
        <w:keepNext w:val="0"/>
        <w:keepLines w:val="0"/>
        <w:pageBreakBefore w:val="0"/>
        <w:widowControl w:val="0"/>
        <w:kinsoku/>
        <w:wordWrap w:val="0"/>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8.</w:t>
      </w:r>
      <w:r>
        <w:rPr>
          <w:rFonts w:hint="default" w:ascii="仿宋_GB2312" w:hAnsi="仿宋_GB2312" w:eastAsia="仿宋_GB2312" w:cs="仿宋_GB2312"/>
          <w:b w:val="0"/>
          <w:bCs w:val="0"/>
          <w:color w:val="auto"/>
          <w:spacing w:val="8"/>
          <w:sz w:val="32"/>
          <w:szCs w:val="32"/>
          <w:lang w:val="en-US" w:eastAsia="zh-CN"/>
        </w:rPr>
        <w:t>《城市建筑垃圾管理规定》（建设部令第139号）</w:t>
      </w:r>
    </w:p>
    <w:p w14:paraId="0E4C5FF8">
      <w:pPr>
        <w:keepNext w:val="0"/>
        <w:keepLines w:val="0"/>
        <w:pageBreakBefore w:val="0"/>
        <w:widowControl w:val="0"/>
        <w:kinsoku/>
        <w:wordWrap w:val="0"/>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9.</w:t>
      </w:r>
      <w:r>
        <w:rPr>
          <w:rFonts w:hint="default" w:ascii="仿宋_GB2312" w:hAnsi="仿宋_GB2312" w:eastAsia="仿宋_GB2312" w:cs="仿宋_GB2312"/>
          <w:b w:val="0"/>
          <w:bCs w:val="0"/>
          <w:color w:val="auto"/>
          <w:spacing w:val="8"/>
          <w:sz w:val="32"/>
          <w:szCs w:val="32"/>
          <w:lang w:val="en-US" w:eastAsia="zh-CN"/>
        </w:rPr>
        <w:t>《甘肃省固体废物污染环境防治条例》（2022</w:t>
      </w:r>
      <w:r>
        <w:rPr>
          <w:rFonts w:hint="eastAsia" w:ascii="仿宋_GB2312" w:hAnsi="仿宋_GB2312" w:eastAsia="仿宋_GB2312" w:cs="仿宋_GB2312"/>
          <w:b w:val="0"/>
          <w:bCs w:val="0"/>
          <w:color w:val="auto"/>
          <w:spacing w:val="8"/>
          <w:sz w:val="32"/>
          <w:szCs w:val="32"/>
          <w:lang w:val="en-US" w:eastAsia="zh-CN"/>
        </w:rPr>
        <w:t>年修订</w:t>
      </w:r>
      <w:r>
        <w:rPr>
          <w:rFonts w:hint="default" w:ascii="仿宋_GB2312" w:hAnsi="仿宋_GB2312" w:eastAsia="仿宋_GB2312" w:cs="仿宋_GB2312"/>
          <w:b w:val="0"/>
          <w:bCs w:val="0"/>
          <w:color w:val="auto"/>
          <w:spacing w:val="8"/>
          <w:sz w:val="32"/>
          <w:szCs w:val="32"/>
          <w:lang w:val="en-US" w:eastAsia="zh-CN"/>
        </w:rPr>
        <w:t>）​</w:t>
      </w:r>
    </w:p>
    <w:p w14:paraId="3FE8D733">
      <w:pPr>
        <w:keepNext w:val="0"/>
        <w:keepLines w:val="0"/>
        <w:pageBreakBefore w:val="0"/>
        <w:widowControl w:val="0"/>
        <w:kinsoku/>
        <w:wordWrap w:val="0"/>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10.</w:t>
      </w:r>
      <w:r>
        <w:rPr>
          <w:rFonts w:hint="default" w:ascii="仿宋_GB2312" w:hAnsi="仿宋_GB2312" w:eastAsia="仿宋_GB2312" w:cs="仿宋_GB2312"/>
          <w:b w:val="0"/>
          <w:bCs w:val="0"/>
          <w:color w:val="auto"/>
          <w:spacing w:val="8"/>
          <w:sz w:val="32"/>
          <w:szCs w:val="32"/>
          <w:lang w:val="en-US" w:eastAsia="zh-CN"/>
        </w:rPr>
        <w:t>《甘肃省城市市容和环境卫生管理办法》（2023</w:t>
      </w:r>
      <w:r>
        <w:rPr>
          <w:rFonts w:hint="eastAsia" w:ascii="仿宋_GB2312" w:hAnsi="仿宋_GB2312" w:eastAsia="仿宋_GB2312" w:cs="仿宋_GB2312"/>
          <w:b w:val="0"/>
          <w:bCs w:val="0"/>
          <w:color w:val="auto"/>
          <w:spacing w:val="8"/>
          <w:sz w:val="32"/>
          <w:szCs w:val="32"/>
          <w:lang w:val="en-US" w:eastAsia="zh-CN"/>
        </w:rPr>
        <w:t>年</w:t>
      </w:r>
      <w:r>
        <w:rPr>
          <w:rFonts w:hint="default" w:ascii="仿宋_GB2312" w:hAnsi="仿宋_GB2312" w:eastAsia="仿宋_GB2312" w:cs="仿宋_GB2312"/>
          <w:b w:val="0"/>
          <w:bCs w:val="0"/>
          <w:color w:val="auto"/>
          <w:spacing w:val="8"/>
          <w:sz w:val="32"/>
          <w:szCs w:val="32"/>
          <w:lang w:val="en-US" w:eastAsia="zh-CN"/>
        </w:rPr>
        <w:t>修订）</w:t>
      </w:r>
    </w:p>
    <w:p w14:paraId="00432BF2">
      <w:pPr>
        <w:keepNext w:val="0"/>
        <w:keepLines w:val="0"/>
        <w:pageBreakBefore w:val="0"/>
        <w:widowControl w:val="0"/>
        <w:kinsoku/>
        <w:wordWrap/>
        <w:overflowPunct/>
        <w:topLinePunct w:val="0"/>
        <w:autoSpaceDE w:val="0"/>
        <w:autoSpaceDN w:val="0"/>
        <w:bidi w:val="0"/>
        <w:adjustRightInd w:val="0"/>
        <w:snapToGrid w:val="0"/>
        <w:spacing w:line="560" w:lineRule="exact"/>
        <w:ind w:right="0" w:rightChars="0" w:firstLine="675" w:firstLineChars="200"/>
        <w:textAlignment w:val="baseline"/>
        <w:outlineLvl w:val="1"/>
        <w:rPr>
          <w:rFonts w:hint="default" w:ascii="楷体_GB2312" w:hAnsi="楷体_GB2312" w:eastAsia="楷体_GB2312" w:cs="楷体_GB2312"/>
          <w:b/>
          <w:bCs/>
          <w:color w:val="auto"/>
          <w:spacing w:val="8"/>
          <w:sz w:val="32"/>
          <w:szCs w:val="32"/>
          <w:lang w:val="en-US" w:eastAsia="zh-CN"/>
        </w:rPr>
      </w:pPr>
      <w:bookmarkStart w:id="58" w:name="_Toc7096"/>
      <w:bookmarkStart w:id="59" w:name="_Toc820"/>
      <w:bookmarkStart w:id="60" w:name="_Toc6718"/>
      <w:bookmarkStart w:id="61" w:name="_Toc2540"/>
      <w:r>
        <w:rPr>
          <w:rFonts w:hint="eastAsia" w:ascii="楷体_GB2312" w:hAnsi="楷体_GB2312" w:eastAsia="楷体_GB2312" w:cs="楷体_GB2312"/>
          <w:b/>
          <w:bCs/>
          <w:color w:val="auto"/>
          <w:spacing w:val="8"/>
          <w:sz w:val="32"/>
          <w:szCs w:val="32"/>
          <w:lang w:val="en-US" w:eastAsia="zh-CN"/>
        </w:rPr>
        <w:t>（二）</w:t>
      </w:r>
      <w:r>
        <w:rPr>
          <w:rFonts w:hint="default" w:ascii="楷体_GB2312" w:hAnsi="楷体_GB2312" w:eastAsia="楷体_GB2312" w:cs="楷体_GB2312"/>
          <w:b/>
          <w:bCs/>
          <w:color w:val="auto"/>
          <w:spacing w:val="8"/>
          <w:sz w:val="32"/>
          <w:szCs w:val="32"/>
          <w:lang w:val="en-US" w:eastAsia="zh-CN"/>
        </w:rPr>
        <w:t>标准规范​</w:t>
      </w:r>
      <w:bookmarkEnd w:id="58"/>
      <w:bookmarkEnd w:id="59"/>
      <w:bookmarkEnd w:id="60"/>
      <w:bookmarkEnd w:id="61"/>
    </w:p>
    <w:p w14:paraId="79A812F2">
      <w:pPr>
        <w:keepNext w:val="0"/>
        <w:keepLines w:val="0"/>
        <w:pageBreakBefore w:val="0"/>
        <w:widowControl w:val="0"/>
        <w:kinsoku/>
        <w:wordWrap w:val="0"/>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1.</w:t>
      </w:r>
      <w:r>
        <w:rPr>
          <w:rFonts w:hint="default" w:ascii="仿宋_GB2312" w:hAnsi="仿宋_GB2312" w:eastAsia="仿宋_GB2312" w:cs="仿宋_GB2312"/>
          <w:b w:val="0"/>
          <w:bCs w:val="0"/>
          <w:color w:val="auto"/>
          <w:spacing w:val="8"/>
          <w:sz w:val="32"/>
          <w:szCs w:val="32"/>
          <w:lang w:val="en-US" w:eastAsia="zh-CN"/>
        </w:rPr>
        <w:t>《建筑垃圾处理技术标准》</w:t>
      </w:r>
      <w:r>
        <w:rPr>
          <w:rFonts w:hint="eastAsia" w:ascii="仿宋_GB2312" w:hAnsi="仿宋_GB2312" w:eastAsia="仿宋_GB2312" w:cs="仿宋_GB2312"/>
          <w:b w:val="0"/>
          <w:bCs w:val="0"/>
          <w:color w:val="auto"/>
          <w:spacing w:val="8"/>
          <w:sz w:val="32"/>
          <w:szCs w:val="32"/>
          <w:lang w:val="en-US" w:eastAsia="zh-CN"/>
        </w:rPr>
        <w:t>（</w:t>
      </w:r>
      <w:r>
        <w:rPr>
          <w:rFonts w:hint="default" w:ascii="仿宋_GB2312" w:hAnsi="仿宋_GB2312" w:eastAsia="仿宋_GB2312" w:cs="仿宋_GB2312"/>
          <w:b w:val="0"/>
          <w:bCs w:val="0"/>
          <w:color w:val="auto"/>
          <w:spacing w:val="8"/>
          <w:sz w:val="32"/>
          <w:szCs w:val="32"/>
          <w:lang w:val="en-US" w:eastAsia="zh-CN"/>
        </w:rPr>
        <w:t>CJJ/T</w:t>
      </w:r>
      <w:r>
        <w:rPr>
          <w:rFonts w:hint="eastAsia" w:ascii="仿宋_GB2312" w:hAnsi="仿宋_GB2312" w:eastAsia="仿宋_GB2312" w:cs="仿宋_GB2312"/>
          <w:b w:val="0"/>
          <w:bCs w:val="0"/>
          <w:color w:val="auto"/>
          <w:spacing w:val="8"/>
          <w:sz w:val="32"/>
          <w:szCs w:val="32"/>
          <w:lang w:val="en-US" w:eastAsia="zh-CN"/>
        </w:rPr>
        <w:t xml:space="preserve"> </w:t>
      </w:r>
      <w:r>
        <w:rPr>
          <w:rFonts w:hint="default" w:ascii="仿宋_GB2312" w:hAnsi="仿宋_GB2312" w:eastAsia="仿宋_GB2312" w:cs="仿宋_GB2312"/>
          <w:b w:val="0"/>
          <w:bCs w:val="0"/>
          <w:color w:val="auto"/>
          <w:spacing w:val="8"/>
          <w:sz w:val="32"/>
          <w:szCs w:val="32"/>
          <w:lang w:val="en-US" w:eastAsia="zh-CN"/>
        </w:rPr>
        <w:t>134-2019</w:t>
      </w:r>
      <w:r>
        <w:rPr>
          <w:rFonts w:hint="eastAsia" w:ascii="仿宋_GB2312" w:hAnsi="仿宋_GB2312" w:eastAsia="仿宋_GB2312" w:cs="仿宋_GB2312"/>
          <w:b w:val="0"/>
          <w:bCs w:val="0"/>
          <w:color w:val="auto"/>
          <w:spacing w:val="8"/>
          <w:sz w:val="32"/>
          <w:szCs w:val="32"/>
          <w:lang w:val="en-US" w:eastAsia="zh-CN"/>
        </w:rPr>
        <w:t>）</w:t>
      </w:r>
      <w:r>
        <w:rPr>
          <w:rFonts w:hint="default" w:ascii="仿宋_GB2312" w:hAnsi="仿宋_GB2312" w:eastAsia="仿宋_GB2312" w:cs="仿宋_GB2312"/>
          <w:b w:val="0"/>
          <w:bCs w:val="0"/>
          <w:color w:val="auto"/>
          <w:spacing w:val="8"/>
          <w:sz w:val="32"/>
          <w:szCs w:val="32"/>
          <w:lang w:val="en-US" w:eastAsia="zh-CN"/>
        </w:rPr>
        <w:t>​</w:t>
      </w:r>
    </w:p>
    <w:p w14:paraId="6C79B594">
      <w:pPr>
        <w:keepNext w:val="0"/>
        <w:keepLines w:val="0"/>
        <w:pageBreakBefore w:val="0"/>
        <w:widowControl w:val="0"/>
        <w:kinsoku/>
        <w:wordWrap w:val="0"/>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2.</w:t>
      </w:r>
      <w:r>
        <w:rPr>
          <w:rFonts w:hint="default" w:ascii="仿宋_GB2312" w:hAnsi="仿宋_GB2312" w:eastAsia="仿宋_GB2312" w:cs="仿宋_GB2312"/>
          <w:b w:val="0"/>
          <w:bCs w:val="0"/>
          <w:color w:val="auto"/>
          <w:spacing w:val="8"/>
          <w:sz w:val="32"/>
          <w:szCs w:val="32"/>
          <w:lang w:val="en-US" w:eastAsia="zh-CN"/>
        </w:rPr>
        <w:t>《建筑施工场界环境噪声排放标准》</w:t>
      </w:r>
      <w:r>
        <w:rPr>
          <w:rFonts w:hint="eastAsia" w:ascii="仿宋_GB2312" w:hAnsi="仿宋_GB2312" w:eastAsia="仿宋_GB2312" w:cs="仿宋_GB2312"/>
          <w:b w:val="0"/>
          <w:bCs w:val="0"/>
          <w:color w:val="auto"/>
          <w:spacing w:val="8"/>
          <w:sz w:val="32"/>
          <w:szCs w:val="32"/>
          <w:lang w:val="en-US" w:eastAsia="zh-CN"/>
        </w:rPr>
        <w:t>（</w:t>
      </w:r>
      <w:r>
        <w:rPr>
          <w:rFonts w:hint="default" w:ascii="仿宋_GB2312" w:hAnsi="仿宋_GB2312" w:eastAsia="仿宋_GB2312" w:cs="仿宋_GB2312"/>
          <w:b w:val="0"/>
          <w:bCs w:val="0"/>
          <w:color w:val="auto"/>
          <w:spacing w:val="8"/>
          <w:sz w:val="32"/>
          <w:szCs w:val="32"/>
          <w:lang w:val="en-US" w:eastAsia="zh-CN"/>
        </w:rPr>
        <w:t>GB</w:t>
      </w:r>
      <w:r>
        <w:rPr>
          <w:rFonts w:hint="eastAsia" w:ascii="仿宋_GB2312" w:hAnsi="仿宋_GB2312" w:eastAsia="仿宋_GB2312" w:cs="仿宋_GB2312"/>
          <w:b w:val="0"/>
          <w:bCs w:val="0"/>
          <w:color w:val="auto"/>
          <w:spacing w:val="8"/>
          <w:sz w:val="32"/>
          <w:szCs w:val="32"/>
          <w:lang w:val="en-US" w:eastAsia="zh-CN"/>
        </w:rPr>
        <w:t xml:space="preserve"> </w:t>
      </w:r>
      <w:r>
        <w:rPr>
          <w:rFonts w:hint="default" w:ascii="仿宋_GB2312" w:hAnsi="仿宋_GB2312" w:eastAsia="仿宋_GB2312" w:cs="仿宋_GB2312"/>
          <w:b w:val="0"/>
          <w:bCs w:val="0"/>
          <w:color w:val="auto"/>
          <w:spacing w:val="8"/>
          <w:sz w:val="32"/>
          <w:szCs w:val="32"/>
          <w:lang w:val="en-US" w:eastAsia="zh-CN"/>
        </w:rPr>
        <w:t>12523-2011</w:t>
      </w:r>
      <w:r>
        <w:rPr>
          <w:rFonts w:hint="eastAsia" w:ascii="仿宋_GB2312" w:hAnsi="仿宋_GB2312" w:eastAsia="仿宋_GB2312" w:cs="仿宋_GB2312"/>
          <w:b w:val="0"/>
          <w:bCs w:val="0"/>
          <w:color w:val="auto"/>
          <w:spacing w:val="8"/>
          <w:sz w:val="32"/>
          <w:szCs w:val="32"/>
          <w:lang w:val="en-US" w:eastAsia="zh-CN"/>
        </w:rPr>
        <w:t>）</w:t>
      </w:r>
      <w:r>
        <w:rPr>
          <w:rFonts w:hint="default" w:ascii="仿宋_GB2312" w:hAnsi="仿宋_GB2312" w:eastAsia="仿宋_GB2312" w:cs="仿宋_GB2312"/>
          <w:b w:val="0"/>
          <w:bCs w:val="0"/>
          <w:color w:val="auto"/>
          <w:spacing w:val="8"/>
          <w:sz w:val="32"/>
          <w:szCs w:val="32"/>
          <w:lang w:val="en-US" w:eastAsia="zh-CN"/>
        </w:rPr>
        <w:t>​</w:t>
      </w:r>
    </w:p>
    <w:p w14:paraId="7897C046">
      <w:pPr>
        <w:keepNext w:val="0"/>
        <w:keepLines w:val="0"/>
        <w:pageBreakBefore w:val="0"/>
        <w:widowControl w:val="0"/>
        <w:kinsoku/>
        <w:wordWrap w:val="0"/>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3.</w:t>
      </w:r>
      <w:r>
        <w:rPr>
          <w:rFonts w:hint="default" w:ascii="仿宋_GB2312" w:hAnsi="仿宋_GB2312" w:eastAsia="仿宋_GB2312" w:cs="仿宋_GB2312"/>
          <w:b w:val="0"/>
          <w:bCs w:val="0"/>
          <w:color w:val="auto"/>
          <w:spacing w:val="8"/>
          <w:sz w:val="32"/>
          <w:szCs w:val="32"/>
          <w:lang w:val="en-US" w:eastAsia="zh-CN"/>
        </w:rPr>
        <w:t>《一般工业固体废物贮存和填埋污染控制标准》</w:t>
      </w:r>
      <w:r>
        <w:rPr>
          <w:rFonts w:hint="eastAsia" w:ascii="仿宋_GB2312" w:hAnsi="仿宋_GB2312" w:eastAsia="仿宋_GB2312" w:cs="仿宋_GB2312"/>
          <w:b w:val="0"/>
          <w:bCs w:val="0"/>
          <w:color w:val="auto"/>
          <w:spacing w:val="8"/>
          <w:sz w:val="32"/>
          <w:szCs w:val="32"/>
          <w:lang w:val="en-US" w:eastAsia="zh-CN"/>
        </w:rPr>
        <w:t>（</w:t>
      </w:r>
      <w:r>
        <w:rPr>
          <w:rFonts w:hint="default" w:ascii="仿宋_GB2312" w:hAnsi="仿宋_GB2312" w:eastAsia="仿宋_GB2312" w:cs="仿宋_GB2312"/>
          <w:b w:val="0"/>
          <w:bCs w:val="0"/>
          <w:color w:val="auto"/>
          <w:spacing w:val="8"/>
          <w:sz w:val="32"/>
          <w:szCs w:val="32"/>
          <w:lang w:val="en-US" w:eastAsia="zh-CN"/>
        </w:rPr>
        <w:t>GB</w:t>
      </w:r>
      <w:r>
        <w:rPr>
          <w:rFonts w:hint="eastAsia" w:ascii="仿宋_GB2312" w:hAnsi="仿宋_GB2312" w:eastAsia="仿宋_GB2312" w:cs="仿宋_GB2312"/>
          <w:b w:val="0"/>
          <w:bCs w:val="0"/>
          <w:color w:val="auto"/>
          <w:spacing w:val="8"/>
          <w:sz w:val="32"/>
          <w:szCs w:val="32"/>
          <w:lang w:val="en-US" w:eastAsia="zh-CN"/>
        </w:rPr>
        <w:t xml:space="preserve"> </w:t>
      </w:r>
      <w:r>
        <w:rPr>
          <w:rFonts w:hint="default" w:ascii="仿宋_GB2312" w:hAnsi="仿宋_GB2312" w:eastAsia="仿宋_GB2312" w:cs="仿宋_GB2312"/>
          <w:b w:val="0"/>
          <w:bCs w:val="0"/>
          <w:color w:val="auto"/>
          <w:spacing w:val="8"/>
          <w:sz w:val="32"/>
          <w:szCs w:val="32"/>
          <w:lang w:val="en-US" w:eastAsia="zh-CN"/>
        </w:rPr>
        <w:t>18599-2020</w:t>
      </w:r>
      <w:r>
        <w:rPr>
          <w:rFonts w:hint="eastAsia" w:ascii="仿宋_GB2312" w:hAnsi="仿宋_GB2312" w:eastAsia="仿宋_GB2312" w:cs="仿宋_GB2312"/>
          <w:b w:val="0"/>
          <w:bCs w:val="0"/>
          <w:color w:val="auto"/>
          <w:spacing w:val="8"/>
          <w:sz w:val="32"/>
          <w:szCs w:val="32"/>
          <w:lang w:val="en-US" w:eastAsia="zh-CN"/>
        </w:rPr>
        <w:t>）</w:t>
      </w:r>
      <w:r>
        <w:rPr>
          <w:rFonts w:hint="default" w:ascii="仿宋_GB2312" w:hAnsi="仿宋_GB2312" w:eastAsia="仿宋_GB2312" w:cs="仿宋_GB2312"/>
          <w:b w:val="0"/>
          <w:bCs w:val="0"/>
          <w:color w:val="auto"/>
          <w:spacing w:val="8"/>
          <w:sz w:val="32"/>
          <w:szCs w:val="32"/>
          <w:lang w:val="en-US" w:eastAsia="zh-CN"/>
        </w:rPr>
        <w:t>​</w:t>
      </w:r>
    </w:p>
    <w:p w14:paraId="1B0427E6">
      <w:pPr>
        <w:keepNext w:val="0"/>
        <w:keepLines w:val="0"/>
        <w:pageBreakBefore w:val="0"/>
        <w:widowControl w:val="0"/>
        <w:kinsoku/>
        <w:wordWrap w:val="0"/>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4.</w:t>
      </w:r>
      <w:r>
        <w:rPr>
          <w:rFonts w:hint="default" w:ascii="仿宋_GB2312" w:hAnsi="仿宋_GB2312" w:eastAsia="仿宋_GB2312" w:cs="仿宋_GB2312"/>
          <w:b w:val="0"/>
          <w:bCs w:val="0"/>
          <w:color w:val="auto"/>
          <w:spacing w:val="8"/>
          <w:sz w:val="32"/>
          <w:szCs w:val="32"/>
          <w:lang w:val="en-US" w:eastAsia="zh-CN"/>
        </w:rPr>
        <w:t>《再生骨料应用技术</w:t>
      </w:r>
      <w:r>
        <w:rPr>
          <w:rFonts w:hint="eastAsia" w:ascii="仿宋_GB2312" w:hAnsi="仿宋_GB2312" w:eastAsia="仿宋_GB2312" w:cs="仿宋_GB2312"/>
          <w:b w:val="0"/>
          <w:bCs w:val="0"/>
          <w:color w:val="auto"/>
          <w:spacing w:val="8"/>
          <w:sz w:val="32"/>
          <w:szCs w:val="32"/>
          <w:lang w:val="en-US" w:eastAsia="zh-CN"/>
        </w:rPr>
        <w:t>规程</w:t>
      </w:r>
      <w:r>
        <w:rPr>
          <w:rFonts w:hint="default" w:ascii="仿宋_GB2312" w:hAnsi="仿宋_GB2312" w:eastAsia="仿宋_GB2312" w:cs="仿宋_GB2312"/>
          <w:b w:val="0"/>
          <w:bCs w:val="0"/>
          <w:color w:val="auto"/>
          <w:spacing w:val="8"/>
          <w:sz w:val="32"/>
          <w:szCs w:val="32"/>
          <w:lang w:val="en-US" w:eastAsia="zh-CN"/>
        </w:rPr>
        <w:t>》</w:t>
      </w:r>
      <w:r>
        <w:rPr>
          <w:rFonts w:hint="eastAsia" w:ascii="仿宋_GB2312" w:hAnsi="仿宋_GB2312" w:eastAsia="仿宋_GB2312" w:cs="仿宋_GB2312"/>
          <w:b w:val="0"/>
          <w:bCs w:val="0"/>
          <w:color w:val="auto"/>
          <w:spacing w:val="8"/>
          <w:sz w:val="32"/>
          <w:szCs w:val="32"/>
          <w:lang w:val="en-US" w:eastAsia="zh-CN"/>
        </w:rPr>
        <w:t>（</w:t>
      </w:r>
      <w:r>
        <w:rPr>
          <w:rFonts w:hint="default" w:ascii="仿宋_GB2312" w:hAnsi="仿宋_GB2312" w:eastAsia="仿宋_GB2312" w:cs="仿宋_GB2312"/>
          <w:b w:val="0"/>
          <w:bCs w:val="0"/>
          <w:color w:val="auto"/>
          <w:spacing w:val="8"/>
          <w:sz w:val="32"/>
          <w:szCs w:val="32"/>
          <w:lang w:val="en-US" w:eastAsia="zh-CN"/>
        </w:rPr>
        <w:t>JGJ/T</w:t>
      </w:r>
      <w:r>
        <w:rPr>
          <w:rFonts w:hint="eastAsia" w:ascii="仿宋_GB2312" w:hAnsi="仿宋_GB2312" w:eastAsia="仿宋_GB2312" w:cs="仿宋_GB2312"/>
          <w:b w:val="0"/>
          <w:bCs w:val="0"/>
          <w:color w:val="auto"/>
          <w:spacing w:val="8"/>
          <w:sz w:val="32"/>
          <w:szCs w:val="32"/>
          <w:lang w:val="en-US" w:eastAsia="zh-CN"/>
        </w:rPr>
        <w:t xml:space="preserve"> </w:t>
      </w:r>
      <w:r>
        <w:rPr>
          <w:rFonts w:hint="default" w:ascii="仿宋_GB2312" w:hAnsi="仿宋_GB2312" w:eastAsia="仿宋_GB2312" w:cs="仿宋_GB2312"/>
          <w:b w:val="0"/>
          <w:bCs w:val="0"/>
          <w:color w:val="auto"/>
          <w:spacing w:val="8"/>
          <w:sz w:val="32"/>
          <w:szCs w:val="32"/>
          <w:lang w:val="en-US" w:eastAsia="zh-CN"/>
        </w:rPr>
        <w:t>240-20</w:t>
      </w:r>
      <w:r>
        <w:rPr>
          <w:rFonts w:hint="eastAsia" w:ascii="仿宋_GB2312" w:hAnsi="仿宋_GB2312" w:eastAsia="仿宋_GB2312" w:cs="仿宋_GB2312"/>
          <w:b w:val="0"/>
          <w:bCs w:val="0"/>
          <w:color w:val="auto"/>
          <w:spacing w:val="8"/>
          <w:sz w:val="32"/>
          <w:szCs w:val="32"/>
          <w:lang w:val="en-US" w:eastAsia="zh-CN"/>
        </w:rPr>
        <w:t>11）</w:t>
      </w:r>
      <w:r>
        <w:rPr>
          <w:rFonts w:hint="default" w:ascii="仿宋_GB2312" w:hAnsi="仿宋_GB2312" w:eastAsia="仿宋_GB2312" w:cs="仿宋_GB2312"/>
          <w:b w:val="0"/>
          <w:bCs w:val="0"/>
          <w:color w:val="auto"/>
          <w:spacing w:val="8"/>
          <w:sz w:val="32"/>
          <w:szCs w:val="32"/>
          <w:lang w:val="en-US" w:eastAsia="zh-CN"/>
        </w:rPr>
        <w:t>​</w:t>
      </w:r>
    </w:p>
    <w:p w14:paraId="4AECCF44">
      <w:pPr>
        <w:keepNext w:val="0"/>
        <w:keepLines w:val="0"/>
        <w:pageBreakBefore w:val="0"/>
        <w:widowControl w:val="0"/>
        <w:kinsoku/>
        <w:wordWrap w:val="0"/>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5.</w:t>
      </w:r>
      <w:r>
        <w:rPr>
          <w:rFonts w:hint="default" w:ascii="仿宋_GB2312" w:hAnsi="仿宋_GB2312" w:eastAsia="仿宋_GB2312" w:cs="仿宋_GB2312"/>
          <w:b w:val="0"/>
          <w:bCs w:val="0"/>
          <w:color w:val="auto"/>
          <w:spacing w:val="8"/>
          <w:sz w:val="32"/>
          <w:szCs w:val="32"/>
          <w:lang w:val="en-US" w:eastAsia="zh-CN"/>
        </w:rPr>
        <w:t>《再生骨料混凝土</w:t>
      </w:r>
      <w:r>
        <w:rPr>
          <w:rFonts w:hint="eastAsia" w:ascii="仿宋_GB2312" w:hAnsi="仿宋_GB2312" w:eastAsia="仿宋_GB2312" w:cs="仿宋_GB2312"/>
          <w:b w:val="0"/>
          <w:bCs w:val="0"/>
          <w:color w:val="auto"/>
          <w:spacing w:val="8"/>
          <w:sz w:val="32"/>
          <w:szCs w:val="32"/>
          <w:lang w:val="en-US" w:eastAsia="zh-CN"/>
        </w:rPr>
        <w:t>非承重预制构件及制品技术标准</w:t>
      </w:r>
      <w:r>
        <w:rPr>
          <w:rFonts w:hint="default" w:ascii="仿宋_GB2312" w:hAnsi="仿宋_GB2312" w:eastAsia="仿宋_GB2312" w:cs="仿宋_GB2312"/>
          <w:b w:val="0"/>
          <w:bCs w:val="0"/>
          <w:color w:val="auto"/>
          <w:spacing w:val="8"/>
          <w:sz w:val="32"/>
          <w:szCs w:val="32"/>
          <w:lang w:val="en-US" w:eastAsia="zh-CN"/>
        </w:rPr>
        <w:t>》</w:t>
      </w:r>
      <w:r>
        <w:rPr>
          <w:rFonts w:hint="eastAsia" w:ascii="仿宋_GB2312" w:hAnsi="仿宋_GB2312" w:eastAsia="仿宋_GB2312" w:cs="仿宋_GB2312"/>
          <w:b w:val="0"/>
          <w:bCs w:val="0"/>
          <w:color w:val="auto"/>
          <w:spacing w:val="8"/>
          <w:sz w:val="32"/>
          <w:szCs w:val="32"/>
          <w:lang w:val="en-US" w:eastAsia="zh-CN"/>
        </w:rPr>
        <w:t>（</w:t>
      </w:r>
      <w:r>
        <w:rPr>
          <w:rFonts w:hint="default" w:ascii="仿宋_GB2312" w:hAnsi="仿宋_GB2312" w:eastAsia="仿宋_GB2312" w:cs="仿宋_GB2312"/>
          <w:b w:val="0"/>
          <w:bCs w:val="0"/>
          <w:color w:val="auto"/>
          <w:spacing w:val="8"/>
          <w:sz w:val="32"/>
          <w:szCs w:val="32"/>
          <w:lang w:val="en-US" w:eastAsia="zh-CN"/>
        </w:rPr>
        <w:t>DB62/T</w:t>
      </w:r>
      <w:r>
        <w:rPr>
          <w:rFonts w:hint="eastAsia" w:ascii="仿宋_GB2312" w:hAnsi="仿宋_GB2312" w:eastAsia="仿宋_GB2312" w:cs="仿宋_GB2312"/>
          <w:b w:val="0"/>
          <w:bCs w:val="0"/>
          <w:color w:val="auto"/>
          <w:spacing w:val="8"/>
          <w:sz w:val="32"/>
          <w:szCs w:val="32"/>
          <w:lang w:val="en-US" w:eastAsia="zh-CN"/>
        </w:rPr>
        <w:t xml:space="preserve"> 4345</w:t>
      </w:r>
      <w:r>
        <w:rPr>
          <w:rFonts w:hint="default" w:ascii="仿宋_GB2312" w:hAnsi="仿宋_GB2312" w:eastAsia="仿宋_GB2312" w:cs="仿宋_GB2312"/>
          <w:b w:val="0"/>
          <w:bCs w:val="0"/>
          <w:color w:val="auto"/>
          <w:spacing w:val="8"/>
          <w:sz w:val="32"/>
          <w:szCs w:val="32"/>
          <w:lang w:val="en-US" w:eastAsia="zh-CN"/>
        </w:rPr>
        <w:t>-20</w:t>
      </w:r>
      <w:r>
        <w:rPr>
          <w:rFonts w:hint="eastAsia" w:ascii="仿宋_GB2312" w:hAnsi="仿宋_GB2312" w:eastAsia="仿宋_GB2312" w:cs="仿宋_GB2312"/>
          <w:b w:val="0"/>
          <w:bCs w:val="0"/>
          <w:color w:val="auto"/>
          <w:spacing w:val="8"/>
          <w:sz w:val="32"/>
          <w:szCs w:val="32"/>
          <w:lang w:val="en-US" w:eastAsia="zh-CN"/>
        </w:rPr>
        <w:t>20）</w:t>
      </w:r>
      <w:r>
        <w:rPr>
          <w:rFonts w:hint="default" w:ascii="仿宋_GB2312" w:hAnsi="仿宋_GB2312" w:eastAsia="仿宋_GB2312" w:cs="仿宋_GB2312"/>
          <w:b w:val="0"/>
          <w:bCs w:val="0"/>
          <w:color w:val="auto"/>
          <w:spacing w:val="8"/>
          <w:sz w:val="32"/>
          <w:szCs w:val="32"/>
          <w:lang w:val="en-US" w:eastAsia="zh-CN"/>
        </w:rPr>
        <w:t>​</w:t>
      </w:r>
    </w:p>
    <w:p w14:paraId="7A00F5FD">
      <w:pPr>
        <w:keepNext w:val="0"/>
        <w:keepLines w:val="0"/>
        <w:pageBreakBefore w:val="0"/>
        <w:widowControl w:val="0"/>
        <w:kinsoku/>
        <w:wordWrap w:val="0"/>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6.</w:t>
      </w:r>
      <w:r>
        <w:rPr>
          <w:rFonts w:hint="default" w:ascii="仿宋_GB2312" w:hAnsi="仿宋_GB2312" w:eastAsia="仿宋_GB2312" w:cs="仿宋_GB2312"/>
          <w:b w:val="0"/>
          <w:bCs w:val="0"/>
          <w:color w:val="auto"/>
          <w:spacing w:val="8"/>
          <w:sz w:val="32"/>
          <w:szCs w:val="32"/>
          <w:lang w:val="en-US" w:eastAsia="zh-CN"/>
        </w:rPr>
        <w:t>《城镇污水处理厂污泥处置混合填埋用泥质》</w:t>
      </w:r>
      <w:r>
        <w:rPr>
          <w:rFonts w:hint="eastAsia" w:ascii="仿宋_GB2312" w:hAnsi="仿宋_GB2312" w:eastAsia="仿宋_GB2312" w:cs="仿宋_GB2312"/>
          <w:b w:val="0"/>
          <w:bCs w:val="0"/>
          <w:color w:val="auto"/>
          <w:spacing w:val="8"/>
          <w:sz w:val="32"/>
          <w:szCs w:val="32"/>
          <w:lang w:val="en-US" w:eastAsia="zh-CN"/>
        </w:rPr>
        <w:t>（</w:t>
      </w:r>
      <w:r>
        <w:rPr>
          <w:rFonts w:hint="default" w:ascii="仿宋_GB2312" w:hAnsi="仿宋_GB2312" w:eastAsia="仿宋_GB2312" w:cs="仿宋_GB2312"/>
          <w:b w:val="0"/>
          <w:bCs w:val="0"/>
          <w:color w:val="auto"/>
          <w:spacing w:val="8"/>
          <w:sz w:val="32"/>
          <w:szCs w:val="32"/>
          <w:lang w:val="en-US" w:eastAsia="zh-CN"/>
        </w:rPr>
        <w:t>GB/T</w:t>
      </w:r>
      <w:r>
        <w:rPr>
          <w:rFonts w:hint="eastAsia" w:ascii="仿宋_GB2312" w:hAnsi="仿宋_GB2312" w:eastAsia="仿宋_GB2312" w:cs="仿宋_GB2312"/>
          <w:b w:val="0"/>
          <w:bCs w:val="0"/>
          <w:color w:val="auto"/>
          <w:spacing w:val="8"/>
          <w:sz w:val="32"/>
          <w:szCs w:val="32"/>
          <w:lang w:val="en-US" w:eastAsia="zh-CN"/>
        </w:rPr>
        <w:t xml:space="preserve"> </w:t>
      </w:r>
      <w:r>
        <w:rPr>
          <w:rFonts w:hint="default" w:ascii="仿宋_GB2312" w:hAnsi="仿宋_GB2312" w:eastAsia="仿宋_GB2312" w:cs="仿宋_GB2312"/>
          <w:b w:val="0"/>
          <w:bCs w:val="0"/>
          <w:color w:val="auto"/>
          <w:spacing w:val="8"/>
          <w:sz w:val="32"/>
          <w:szCs w:val="32"/>
          <w:lang w:val="en-US" w:eastAsia="zh-CN"/>
        </w:rPr>
        <w:t>23485-</w:t>
      </w:r>
      <w:r>
        <w:rPr>
          <w:rFonts w:hint="eastAsia" w:ascii="仿宋_GB2312" w:hAnsi="仿宋_GB2312" w:eastAsia="仿宋_GB2312" w:cs="仿宋_GB2312"/>
          <w:b w:val="0"/>
          <w:bCs w:val="0"/>
          <w:color w:val="auto"/>
          <w:spacing w:val="8"/>
          <w:sz w:val="32"/>
          <w:szCs w:val="32"/>
          <w:lang w:val="en-US" w:eastAsia="zh-CN"/>
        </w:rPr>
        <w:t>2023）</w:t>
      </w:r>
      <w:r>
        <w:rPr>
          <w:rFonts w:hint="default" w:ascii="仿宋_GB2312" w:hAnsi="仿宋_GB2312" w:eastAsia="仿宋_GB2312" w:cs="仿宋_GB2312"/>
          <w:b w:val="0"/>
          <w:bCs w:val="0"/>
          <w:color w:val="auto"/>
          <w:spacing w:val="8"/>
          <w:sz w:val="32"/>
          <w:szCs w:val="32"/>
          <w:lang w:val="en-US" w:eastAsia="zh-CN"/>
        </w:rPr>
        <w:t>​</w:t>
      </w:r>
    </w:p>
    <w:p w14:paraId="4DD87135">
      <w:pPr>
        <w:keepNext w:val="0"/>
        <w:keepLines w:val="0"/>
        <w:pageBreakBefore w:val="0"/>
        <w:widowControl w:val="0"/>
        <w:kinsoku/>
        <w:wordWrap w:val="0"/>
        <w:overflowPunct/>
        <w:topLinePunct w:val="0"/>
        <w:autoSpaceDE w:val="0"/>
        <w:autoSpaceDN w:val="0"/>
        <w:bidi w:val="0"/>
        <w:adjustRightInd w:val="0"/>
        <w:snapToGrid w:val="0"/>
        <w:spacing w:line="560" w:lineRule="exact"/>
        <w:ind w:right="0" w:firstLine="672" w:firstLineChars="200"/>
        <w:textAlignment w:val="baseline"/>
        <w:rPr>
          <w:rFonts w:hint="eastAsia" w:ascii="仿宋_GB2312" w:hAnsi="仿宋_GB2312" w:eastAsia="仿宋_GB2312" w:cs="仿宋_GB2312"/>
          <w:color w:val="auto"/>
          <w:spacing w:val="0"/>
          <w:sz w:val="32"/>
          <w:szCs w:val="32"/>
        </w:rPr>
      </w:pPr>
      <w:r>
        <w:rPr>
          <w:rFonts w:hint="eastAsia" w:ascii="仿宋_GB2312" w:hAnsi="仿宋_GB2312" w:eastAsia="仿宋_GB2312" w:cs="仿宋_GB2312"/>
          <w:b w:val="0"/>
          <w:bCs w:val="0"/>
          <w:color w:val="auto"/>
          <w:spacing w:val="8"/>
          <w:sz w:val="32"/>
          <w:szCs w:val="32"/>
          <w:lang w:val="en-US" w:eastAsia="zh-CN"/>
        </w:rPr>
        <w:t>7.</w:t>
      </w:r>
      <w:r>
        <w:rPr>
          <w:rFonts w:hint="eastAsia" w:ascii="仿宋_GB2312" w:hAnsi="仿宋_GB2312" w:eastAsia="仿宋_GB2312" w:cs="仿宋_GB2312"/>
          <w:color w:val="auto"/>
          <w:spacing w:val="0"/>
          <w:sz w:val="32"/>
          <w:szCs w:val="32"/>
        </w:rPr>
        <w:t>《建筑垃圾转运处理电子联单管理标准》（</w:t>
      </w:r>
      <w:r>
        <w:rPr>
          <w:rFonts w:hint="eastAsia" w:ascii="仿宋_GB2312" w:hAnsi="仿宋_GB2312" w:eastAsia="仿宋_GB2312" w:cs="仿宋_GB2312"/>
          <w:color w:val="auto"/>
          <w:spacing w:val="-11"/>
          <w:sz w:val="32"/>
          <w:szCs w:val="32"/>
        </w:rPr>
        <w:t>T/CECS</w:t>
      </w:r>
      <w:r>
        <w:rPr>
          <w:rFonts w:hint="eastAsia" w:ascii="仿宋_GB2312" w:hAnsi="仿宋_GB2312" w:eastAsia="仿宋_GB2312" w:cs="仿宋_GB2312"/>
          <w:color w:val="auto"/>
          <w:spacing w:val="-11"/>
          <w:sz w:val="32"/>
          <w:szCs w:val="32"/>
          <w:lang w:val="en-US" w:eastAsia="zh-CN"/>
        </w:rPr>
        <w:t xml:space="preserve"> </w:t>
      </w:r>
      <w:r>
        <w:rPr>
          <w:rFonts w:hint="eastAsia" w:ascii="仿宋_GB2312" w:hAnsi="仿宋_GB2312" w:eastAsia="仿宋_GB2312" w:cs="仿宋_GB2312"/>
          <w:color w:val="auto"/>
          <w:spacing w:val="-11"/>
          <w:sz w:val="32"/>
          <w:szCs w:val="32"/>
        </w:rPr>
        <w:t>1210-2022</w:t>
      </w:r>
      <w:r>
        <w:rPr>
          <w:rFonts w:hint="eastAsia" w:ascii="仿宋_GB2312" w:hAnsi="仿宋_GB2312" w:eastAsia="仿宋_GB2312" w:cs="仿宋_GB2312"/>
          <w:color w:val="auto"/>
          <w:spacing w:val="-11"/>
          <w:sz w:val="32"/>
          <w:szCs w:val="32"/>
          <w:lang w:eastAsia="zh-CN"/>
        </w:rPr>
        <w:t>）</w:t>
      </w:r>
    </w:p>
    <w:p w14:paraId="4B794FA2">
      <w:pPr>
        <w:keepNext w:val="0"/>
        <w:keepLines w:val="0"/>
        <w:pageBreakBefore w:val="0"/>
        <w:widowControl w:val="0"/>
        <w:kinsoku/>
        <w:wordWrap w:val="0"/>
        <w:overflowPunct/>
        <w:topLinePunct w:val="0"/>
        <w:autoSpaceDE w:val="0"/>
        <w:autoSpaceDN w:val="0"/>
        <w:bidi w:val="0"/>
        <w:adjustRightInd w:val="0"/>
        <w:snapToGrid w:val="0"/>
        <w:spacing w:line="560" w:lineRule="exact"/>
        <w:ind w:right="0" w:firstLine="644" w:firstLineChars="200"/>
        <w:textAlignment w:val="baseline"/>
        <w:rPr>
          <w:rFonts w:hint="eastAsia" w:ascii="仿宋_GB2312" w:hAnsi="仿宋_GB2312" w:eastAsia="仿宋_GB2312" w:cs="仿宋_GB2312"/>
          <w:color w:val="auto"/>
          <w:spacing w:val="-19"/>
          <w:sz w:val="32"/>
          <w:szCs w:val="32"/>
        </w:rPr>
      </w:pPr>
      <w:r>
        <w:rPr>
          <w:rFonts w:hint="eastAsia" w:ascii="仿宋_GB2312" w:hAnsi="仿宋_GB2312" w:eastAsia="仿宋_GB2312" w:cs="仿宋_GB2312"/>
          <w:color w:val="auto"/>
          <w:spacing w:val="6"/>
          <w:sz w:val="31"/>
          <w:szCs w:val="31"/>
          <w:lang w:val="en-US" w:eastAsia="zh-CN"/>
        </w:rPr>
        <w:t>8.</w:t>
      </w:r>
      <w:r>
        <w:rPr>
          <w:rFonts w:hint="eastAsia" w:ascii="仿宋_GB2312" w:hAnsi="仿宋_GB2312" w:eastAsia="仿宋_GB2312" w:cs="仿宋_GB2312"/>
          <w:color w:val="auto"/>
          <w:spacing w:val="6"/>
          <w:sz w:val="31"/>
          <w:szCs w:val="31"/>
        </w:rPr>
        <w:t>《环境卫生设施设置标准》（CJJ</w:t>
      </w:r>
      <w:r>
        <w:rPr>
          <w:rFonts w:hint="eastAsia" w:ascii="仿宋_GB2312" w:hAnsi="仿宋_GB2312" w:eastAsia="仿宋_GB2312" w:cs="仿宋_GB2312"/>
          <w:color w:val="auto"/>
          <w:spacing w:val="6"/>
          <w:sz w:val="31"/>
          <w:szCs w:val="31"/>
          <w:lang w:val="en-US" w:eastAsia="zh-CN"/>
        </w:rPr>
        <w:t xml:space="preserve"> </w:t>
      </w:r>
      <w:r>
        <w:rPr>
          <w:rFonts w:hint="eastAsia" w:ascii="仿宋_GB2312" w:hAnsi="仿宋_GB2312" w:eastAsia="仿宋_GB2312" w:cs="仿宋_GB2312"/>
          <w:color w:val="auto"/>
          <w:spacing w:val="6"/>
          <w:sz w:val="31"/>
          <w:szCs w:val="31"/>
        </w:rPr>
        <w:t>27-2012）</w:t>
      </w:r>
    </w:p>
    <w:p w14:paraId="6CC8C32B">
      <w:pPr>
        <w:keepNext w:val="0"/>
        <w:keepLines w:val="0"/>
        <w:pageBreakBefore w:val="0"/>
        <w:widowControl w:val="0"/>
        <w:kinsoku/>
        <w:wordWrap w:val="0"/>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9.</w:t>
      </w:r>
      <w:r>
        <w:rPr>
          <w:rFonts w:hint="default" w:ascii="仿宋_GB2312" w:hAnsi="仿宋_GB2312" w:eastAsia="仿宋_GB2312" w:cs="仿宋_GB2312"/>
          <w:b w:val="0"/>
          <w:bCs w:val="0"/>
          <w:color w:val="auto"/>
          <w:spacing w:val="8"/>
          <w:sz w:val="32"/>
          <w:szCs w:val="32"/>
          <w:lang w:val="en-US" w:eastAsia="zh-CN"/>
        </w:rPr>
        <w:t>《城市环境卫生设施规划标准》</w:t>
      </w:r>
      <w:r>
        <w:rPr>
          <w:rFonts w:hint="eastAsia" w:ascii="仿宋_GB2312" w:hAnsi="仿宋_GB2312" w:eastAsia="仿宋_GB2312" w:cs="仿宋_GB2312"/>
          <w:b w:val="0"/>
          <w:bCs w:val="0"/>
          <w:color w:val="auto"/>
          <w:spacing w:val="8"/>
          <w:sz w:val="32"/>
          <w:szCs w:val="32"/>
          <w:lang w:val="en-US" w:eastAsia="zh-CN"/>
        </w:rPr>
        <w:t>（</w:t>
      </w:r>
      <w:r>
        <w:rPr>
          <w:rFonts w:hint="default" w:ascii="仿宋_GB2312" w:hAnsi="仿宋_GB2312" w:eastAsia="仿宋_GB2312" w:cs="仿宋_GB2312"/>
          <w:b w:val="0"/>
          <w:bCs w:val="0"/>
          <w:color w:val="auto"/>
          <w:spacing w:val="8"/>
          <w:sz w:val="32"/>
          <w:szCs w:val="32"/>
          <w:lang w:val="en-US" w:eastAsia="zh-CN"/>
        </w:rPr>
        <w:t>GB/T</w:t>
      </w:r>
      <w:r>
        <w:rPr>
          <w:rFonts w:hint="eastAsia" w:ascii="仿宋_GB2312" w:hAnsi="仿宋_GB2312" w:eastAsia="仿宋_GB2312" w:cs="仿宋_GB2312"/>
          <w:b w:val="0"/>
          <w:bCs w:val="0"/>
          <w:color w:val="auto"/>
          <w:spacing w:val="8"/>
          <w:sz w:val="32"/>
          <w:szCs w:val="32"/>
          <w:lang w:val="en-US" w:eastAsia="zh-CN"/>
        </w:rPr>
        <w:t xml:space="preserve"> </w:t>
      </w:r>
      <w:r>
        <w:rPr>
          <w:rFonts w:hint="default" w:ascii="仿宋_GB2312" w:hAnsi="仿宋_GB2312" w:eastAsia="仿宋_GB2312" w:cs="仿宋_GB2312"/>
          <w:b w:val="0"/>
          <w:bCs w:val="0"/>
          <w:color w:val="auto"/>
          <w:spacing w:val="8"/>
          <w:sz w:val="32"/>
          <w:szCs w:val="32"/>
          <w:lang w:val="en-US" w:eastAsia="zh-CN"/>
        </w:rPr>
        <w:t>50337-2018</w:t>
      </w:r>
      <w:r>
        <w:rPr>
          <w:rFonts w:hint="eastAsia" w:ascii="仿宋_GB2312" w:hAnsi="仿宋_GB2312" w:eastAsia="仿宋_GB2312" w:cs="仿宋_GB2312"/>
          <w:b w:val="0"/>
          <w:bCs w:val="0"/>
          <w:color w:val="auto"/>
          <w:spacing w:val="8"/>
          <w:sz w:val="32"/>
          <w:szCs w:val="32"/>
          <w:lang w:val="en-US" w:eastAsia="zh-CN"/>
        </w:rPr>
        <w:t>）</w:t>
      </w:r>
    </w:p>
    <w:p w14:paraId="24F5B208">
      <w:pPr>
        <w:keepNext w:val="0"/>
        <w:keepLines w:val="0"/>
        <w:pageBreakBefore w:val="0"/>
        <w:widowControl w:val="0"/>
        <w:kinsoku/>
        <w:wordWrap w:val="0"/>
        <w:overflowPunct/>
        <w:topLinePunct w:val="0"/>
        <w:autoSpaceDE w:val="0"/>
        <w:autoSpaceDN w:val="0"/>
        <w:bidi w:val="0"/>
        <w:adjustRightInd w:val="0"/>
        <w:snapToGrid w:val="0"/>
        <w:spacing w:line="560" w:lineRule="exact"/>
        <w:ind w:right="0" w:firstLine="672" w:firstLineChars="200"/>
        <w:textAlignment w:val="baseline"/>
        <w:rPr>
          <w:rFonts w:hint="eastAsia"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10.《土壤环境质量建设用地土壤污染风险管控标准》（GB 36600-2018）</w:t>
      </w:r>
    </w:p>
    <w:p w14:paraId="13BA1846">
      <w:pPr>
        <w:keepNext w:val="0"/>
        <w:keepLines w:val="0"/>
        <w:pageBreakBefore w:val="0"/>
        <w:widowControl w:val="0"/>
        <w:kinsoku/>
        <w:wordWrap w:val="0"/>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11.《地下水质量标准》（GB/T 14848</w:t>
      </w:r>
      <w:r>
        <w:rPr>
          <w:rFonts w:hint="eastAsia" w:ascii="仿宋_GB2312" w:hAnsi="仿宋_GB2312" w:eastAsia="仿宋_GB2312" w:cs="仿宋_GB2312"/>
          <w:color w:val="auto"/>
          <w:spacing w:val="8"/>
          <w:sz w:val="32"/>
          <w:szCs w:val="32"/>
          <w:lang w:eastAsia="zh-CN"/>
        </w:rPr>
        <w:t>-2017</w:t>
      </w:r>
      <w:r>
        <w:rPr>
          <w:rFonts w:hint="eastAsia" w:ascii="仿宋_GB2312" w:hAnsi="仿宋_GB2312" w:eastAsia="仿宋_GB2312" w:cs="仿宋_GB2312"/>
          <w:b w:val="0"/>
          <w:bCs w:val="0"/>
          <w:color w:val="auto"/>
          <w:spacing w:val="8"/>
          <w:sz w:val="32"/>
          <w:szCs w:val="32"/>
          <w:lang w:val="en-US" w:eastAsia="zh-CN"/>
        </w:rPr>
        <w:t>）</w:t>
      </w:r>
    </w:p>
    <w:p w14:paraId="19FECBD5">
      <w:pPr>
        <w:keepNext w:val="0"/>
        <w:keepLines w:val="0"/>
        <w:pageBreakBefore w:val="0"/>
        <w:widowControl w:val="0"/>
        <w:kinsoku/>
        <w:wordWrap/>
        <w:overflowPunct/>
        <w:topLinePunct w:val="0"/>
        <w:autoSpaceDE w:val="0"/>
        <w:autoSpaceDN w:val="0"/>
        <w:bidi w:val="0"/>
        <w:adjustRightInd w:val="0"/>
        <w:snapToGrid w:val="0"/>
        <w:spacing w:line="560" w:lineRule="exact"/>
        <w:ind w:right="0" w:rightChars="0" w:firstLine="675" w:firstLineChars="200"/>
        <w:textAlignment w:val="baseline"/>
        <w:outlineLvl w:val="1"/>
        <w:rPr>
          <w:rFonts w:hint="default" w:ascii="楷体_GB2312" w:hAnsi="楷体_GB2312" w:eastAsia="楷体_GB2312" w:cs="楷体_GB2312"/>
          <w:b/>
          <w:bCs/>
          <w:color w:val="auto"/>
          <w:spacing w:val="8"/>
          <w:sz w:val="32"/>
          <w:szCs w:val="32"/>
          <w:lang w:val="en-US" w:eastAsia="zh-CN"/>
        </w:rPr>
      </w:pPr>
      <w:bookmarkStart w:id="62" w:name="_Toc31527"/>
      <w:bookmarkStart w:id="63" w:name="_Toc15680"/>
      <w:bookmarkStart w:id="64" w:name="_Toc15517"/>
      <w:bookmarkStart w:id="65" w:name="_Toc26146"/>
      <w:r>
        <w:rPr>
          <w:rFonts w:hint="eastAsia" w:ascii="楷体_GB2312" w:hAnsi="楷体_GB2312" w:eastAsia="楷体_GB2312" w:cs="楷体_GB2312"/>
          <w:b/>
          <w:bCs/>
          <w:color w:val="auto"/>
          <w:spacing w:val="8"/>
          <w:sz w:val="32"/>
          <w:szCs w:val="32"/>
          <w:lang w:val="en-US" w:eastAsia="zh-CN"/>
        </w:rPr>
        <w:t>（三）</w:t>
      </w:r>
      <w:r>
        <w:rPr>
          <w:rFonts w:hint="default" w:ascii="楷体_GB2312" w:hAnsi="楷体_GB2312" w:eastAsia="楷体_GB2312" w:cs="楷体_GB2312"/>
          <w:b/>
          <w:bCs/>
          <w:color w:val="auto"/>
          <w:spacing w:val="8"/>
          <w:sz w:val="32"/>
          <w:szCs w:val="32"/>
          <w:lang w:val="en-US" w:eastAsia="zh-CN"/>
        </w:rPr>
        <w:t>政策文件及相关规划​</w:t>
      </w:r>
      <w:bookmarkEnd w:id="62"/>
      <w:bookmarkEnd w:id="63"/>
      <w:bookmarkEnd w:id="64"/>
      <w:bookmarkEnd w:id="65"/>
    </w:p>
    <w:p w14:paraId="123B0AC2">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1.</w:t>
      </w:r>
      <w:r>
        <w:rPr>
          <w:rFonts w:hint="default" w:ascii="仿宋_GB2312" w:hAnsi="仿宋_GB2312" w:eastAsia="仿宋_GB2312" w:cs="仿宋_GB2312"/>
          <w:b w:val="0"/>
          <w:bCs w:val="0"/>
          <w:color w:val="auto"/>
          <w:spacing w:val="8"/>
          <w:sz w:val="32"/>
          <w:szCs w:val="32"/>
          <w:lang w:val="en-US" w:eastAsia="zh-CN"/>
        </w:rPr>
        <w:t>《国务院办公厅转发住房城乡建设部</w:t>
      </w:r>
      <w:r>
        <w:rPr>
          <w:rFonts w:hint="eastAsia" w:ascii="仿宋_GB2312" w:hAnsi="仿宋_GB2312" w:eastAsia="仿宋_GB2312" w:cs="仿宋_GB2312"/>
          <w:b w:val="0"/>
          <w:bCs w:val="0"/>
          <w:color w:val="auto"/>
          <w:spacing w:val="8"/>
          <w:sz w:val="32"/>
          <w:szCs w:val="32"/>
          <w:lang w:val="en-US" w:eastAsia="zh-CN"/>
        </w:rPr>
        <w:t>〈</w:t>
      </w:r>
      <w:r>
        <w:rPr>
          <w:rFonts w:hint="default" w:ascii="仿宋_GB2312" w:hAnsi="仿宋_GB2312" w:eastAsia="仿宋_GB2312" w:cs="仿宋_GB2312"/>
          <w:b w:val="0"/>
          <w:bCs w:val="0"/>
          <w:color w:val="auto"/>
          <w:spacing w:val="8"/>
          <w:sz w:val="32"/>
          <w:szCs w:val="32"/>
          <w:lang w:val="en-US" w:eastAsia="zh-CN"/>
        </w:rPr>
        <w:t>关于进一步加强城市建筑垃圾治理的意见</w:t>
      </w:r>
      <w:r>
        <w:rPr>
          <w:rFonts w:hint="eastAsia" w:ascii="仿宋_GB2312" w:hAnsi="仿宋_GB2312" w:eastAsia="仿宋_GB2312" w:cs="仿宋_GB2312"/>
          <w:b w:val="0"/>
          <w:bCs w:val="0"/>
          <w:color w:val="auto"/>
          <w:spacing w:val="8"/>
          <w:sz w:val="32"/>
          <w:szCs w:val="32"/>
          <w:lang w:val="en-US" w:eastAsia="zh-CN"/>
        </w:rPr>
        <w:t>〉</w:t>
      </w:r>
      <w:r>
        <w:rPr>
          <w:rFonts w:hint="default" w:ascii="仿宋_GB2312" w:hAnsi="仿宋_GB2312" w:eastAsia="仿宋_GB2312" w:cs="仿宋_GB2312"/>
          <w:b w:val="0"/>
          <w:bCs w:val="0"/>
          <w:color w:val="auto"/>
          <w:spacing w:val="8"/>
          <w:sz w:val="32"/>
          <w:szCs w:val="32"/>
          <w:lang w:val="en-US" w:eastAsia="zh-CN"/>
        </w:rPr>
        <w:t>的通知》（国办函〔20</w:t>
      </w:r>
      <w:r>
        <w:rPr>
          <w:rFonts w:hint="eastAsia" w:ascii="仿宋_GB2312" w:hAnsi="仿宋_GB2312" w:eastAsia="仿宋_GB2312" w:cs="仿宋_GB2312"/>
          <w:b w:val="0"/>
          <w:bCs w:val="0"/>
          <w:color w:val="auto"/>
          <w:spacing w:val="8"/>
          <w:sz w:val="32"/>
          <w:szCs w:val="32"/>
          <w:lang w:val="en-US" w:eastAsia="zh-CN"/>
        </w:rPr>
        <w:t>25</w:t>
      </w:r>
      <w:r>
        <w:rPr>
          <w:rFonts w:hint="default" w:ascii="仿宋_GB2312" w:hAnsi="仿宋_GB2312" w:eastAsia="仿宋_GB2312" w:cs="仿宋_GB2312"/>
          <w:b w:val="0"/>
          <w:bCs w:val="0"/>
          <w:color w:val="auto"/>
          <w:spacing w:val="8"/>
          <w:sz w:val="32"/>
          <w:szCs w:val="32"/>
          <w:lang w:val="en-US" w:eastAsia="zh-CN"/>
        </w:rPr>
        <w:t>〕</w:t>
      </w:r>
      <w:r>
        <w:rPr>
          <w:rFonts w:hint="eastAsia" w:ascii="仿宋_GB2312" w:hAnsi="仿宋_GB2312" w:eastAsia="仿宋_GB2312" w:cs="仿宋_GB2312"/>
          <w:b w:val="0"/>
          <w:bCs w:val="0"/>
          <w:color w:val="auto"/>
          <w:spacing w:val="8"/>
          <w:sz w:val="32"/>
          <w:szCs w:val="32"/>
          <w:lang w:val="en-US" w:eastAsia="zh-CN"/>
        </w:rPr>
        <w:t>57</w:t>
      </w:r>
      <w:r>
        <w:rPr>
          <w:rFonts w:hint="default" w:ascii="仿宋_GB2312" w:hAnsi="仿宋_GB2312" w:eastAsia="仿宋_GB2312" w:cs="仿宋_GB2312"/>
          <w:b w:val="0"/>
          <w:bCs w:val="0"/>
          <w:color w:val="auto"/>
          <w:spacing w:val="8"/>
          <w:sz w:val="32"/>
          <w:szCs w:val="32"/>
          <w:lang w:val="en-US" w:eastAsia="zh-CN"/>
        </w:rPr>
        <w:t>号）​</w:t>
      </w:r>
    </w:p>
    <w:p w14:paraId="41131FC2">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2.</w:t>
      </w:r>
      <w:r>
        <w:rPr>
          <w:rFonts w:hint="default" w:ascii="仿宋_GB2312" w:hAnsi="仿宋_GB2312" w:eastAsia="仿宋_GB2312" w:cs="仿宋_GB2312"/>
          <w:b w:val="0"/>
          <w:bCs w:val="0"/>
          <w:color w:val="auto"/>
          <w:spacing w:val="8"/>
          <w:sz w:val="32"/>
          <w:szCs w:val="32"/>
          <w:lang w:val="en-US" w:eastAsia="zh-CN"/>
        </w:rPr>
        <w:t>《住房和城乡建设部等部门关于开展建筑垃圾治理试点工作的通知》（建城</w:t>
      </w:r>
      <w:r>
        <w:rPr>
          <w:rFonts w:hint="eastAsia" w:ascii="仿宋_GB2312" w:hAnsi="仿宋_GB2312" w:eastAsia="仿宋_GB2312" w:cs="仿宋_GB2312"/>
          <w:b w:val="0"/>
          <w:bCs w:val="0"/>
          <w:color w:val="auto"/>
          <w:spacing w:val="8"/>
          <w:sz w:val="32"/>
          <w:szCs w:val="32"/>
          <w:lang w:val="en-US" w:eastAsia="zh-CN"/>
        </w:rPr>
        <w:t>函</w:t>
      </w:r>
      <w:r>
        <w:rPr>
          <w:rFonts w:hint="default" w:ascii="仿宋_GB2312" w:hAnsi="仿宋_GB2312" w:eastAsia="仿宋_GB2312" w:cs="仿宋_GB2312"/>
          <w:b w:val="0"/>
          <w:bCs w:val="0"/>
          <w:color w:val="auto"/>
          <w:spacing w:val="8"/>
          <w:sz w:val="32"/>
          <w:szCs w:val="32"/>
          <w:lang w:val="en-US" w:eastAsia="zh-CN"/>
        </w:rPr>
        <w:t>〔20</w:t>
      </w:r>
      <w:r>
        <w:rPr>
          <w:rFonts w:hint="eastAsia" w:ascii="仿宋_GB2312" w:hAnsi="仿宋_GB2312" w:eastAsia="仿宋_GB2312" w:cs="仿宋_GB2312"/>
          <w:b w:val="0"/>
          <w:bCs w:val="0"/>
          <w:color w:val="auto"/>
          <w:spacing w:val="8"/>
          <w:sz w:val="32"/>
          <w:szCs w:val="32"/>
          <w:lang w:val="en-US" w:eastAsia="zh-CN"/>
        </w:rPr>
        <w:t>18</w:t>
      </w:r>
      <w:r>
        <w:rPr>
          <w:rFonts w:hint="default" w:ascii="仿宋_GB2312" w:hAnsi="仿宋_GB2312" w:eastAsia="仿宋_GB2312" w:cs="仿宋_GB2312"/>
          <w:b w:val="0"/>
          <w:bCs w:val="0"/>
          <w:color w:val="auto"/>
          <w:spacing w:val="8"/>
          <w:sz w:val="32"/>
          <w:szCs w:val="32"/>
          <w:lang w:val="en-US" w:eastAsia="zh-CN"/>
        </w:rPr>
        <w:t>〕</w:t>
      </w:r>
      <w:r>
        <w:rPr>
          <w:rFonts w:hint="eastAsia" w:ascii="仿宋_GB2312" w:hAnsi="仿宋_GB2312" w:eastAsia="仿宋_GB2312" w:cs="仿宋_GB2312"/>
          <w:b w:val="0"/>
          <w:bCs w:val="0"/>
          <w:color w:val="auto"/>
          <w:spacing w:val="8"/>
          <w:sz w:val="32"/>
          <w:szCs w:val="32"/>
          <w:lang w:val="en-US" w:eastAsia="zh-CN"/>
        </w:rPr>
        <w:t>6</w:t>
      </w:r>
      <w:r>
        <w:rPr>
          <w:rFonts w:hint="default" w:ascii="仿宋_GB2312" w:hAnsi="仿宋_GB2312" w:eastAsia="仿宋_GB2312" w:cs="仿宋_GB2312"/>
          <w:b w:val="0"/>
          <w:bCs w:val="0"/>
          <w:color w:val="auto"/>
          <w:spacing w:val="8"/>
          <w:sz w:val="32"/>
          <w:szCs w:val="32"/>
          <w:lang w:val="en-US" w:eastAsia="zh-CN"/>
        </w:rPr>
        <w:t>5号）​</w:t>
      </w:r>
    </w:p>
    <w:p w14:paraId="2ABB9BAA">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3.《国家发展改革委关于印发〈</w:t>
      </w:r>
      <w:r>
        <w:rPr>
          <w:rFonts w:hint="eastAsia" w:ascii="仿宋_GB2312" w:hAnsi="仿宋_GB2312" w:eastAsia="仿宋_GB2312" w:cs="仿宋_GB2312"/>
          <w:i w:val="0"/>
          <w:iCs w:val="0"/>
          <w:caps w:val="0"/>
          <w:color w:val="auto"/>
          <w:spacing w:val="0"/>
          <w:sz w:val="32"/>
          <w:szCs w:val="32"/>
          <w:shd w:val="clear" w:fill="FFFFFF"/>
        </w:rPr>
        <w:t>“十四五”循环经济发展规划</w:t>
      </w:r>
      <w:r>
        <w:rPr>
          <w:rFonts w:hint="eastAsia" w:ascii="仿宋_GB2312" w:hAnsi="仿宋_GB2312" w:eastAsia="仿宋_GB2312" w:cs="仿宋_GB2312"/>
          <w:i w:val="0"/>
          <w:iCs w:val="0"/>
          <w:caps w:val="0"/>
          <w:color w:val="auto"/>
          <w:spacing w:val="0"/>
          <w:sz w:val="32"/>
          <w:szCs w:val="32"/>
          <w:shd w:val="clear" w:fill="FFFFFF"/>
          <w:lang w:eastAsia="zh-CN"/>
        </w:rPr>
        <w:t>〉</w:t>
      </w:r>
      <w:r>
        <w:rPr>
          <w:rFonts w:hint="eastAsia" w:ascii="仿宋_GB2312" w:hAnsi="仿宋_GB2312" w:eastAsia="仿宋_GB2312" w:cs="仿宋_GB2312"/>
          <w:i w:val="0"/>
          <w:iCs w:val="0"/>
          <w:caps w:val="0"/>
          <w:color w:val="auto"/>
          <w:spacing w:val="0"/>
          <w:sz w:val="32"/>
          <w:szCs w:val="32"/>
          <w:shd w:val="clear" w:fill="FFFFFF"/>
        </w:rPr>
        <w:t>的通知</w:t>
      </w:r>
      <w:r>
        <w:rPr>
          <w:rFonts w:hint="eastAsia" w:ascii="仿宋_GB2312" w:hAnsi="仿宋_GB2312" w:eastAsia="仿宋_GB2312" w:cs="仿宋_GB2312"/>
          <w:b w:val="0"/>
          <w:bCs w:val="0"/>
          <w:color w:val="auto"/>
          <w:spacing w:val="8"/>
          <w:sz w:val="32"/>
          <w:szCs w:val="32"/>
          <w:lang w:val="en-US" w:eastAsia="zh-CN"/>
        </w:rPr>
        <w:t>》（发</w:t>
      </w:r>
      <w:r>
        <w:rPr>
          <w:rFonts w:hint="default" w:ascii="仿宋_GB2312" w:hAnsi="仿宋_GB2312" w:eastAsia="仿宋_GB2312" w:cs="仿宋_GB2312"/>
          <w:b w:val="0"/>
          <w:bCs w:val="0"/>
          <w:color w:val="auto"/>
          <w:spacing w:val="8"/>
          <w:sz w:val="32"/>
          <w:szCs w:val="32"/>
          <w:lang w:val="en-US" w:eastAsia="zh-CN"/>
        </w:rPr>
        <w:t>改环资〔2021〕969号）</w:t>
      </w:r>
    </w:p>
    <w:p w14:paraId="799D9A3E">
      <w:pPr>
        <w:pStyle w:val="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wordWrap/>
        <w:overflowPunct/>
        <w:topLinePunct w:val="0"/>
        <w:autoSpaceDE w:val="0"/>
        <w:autoSpaceDN w:val="0"/>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b w:val="0"/>
          <w:bCs w:val="0"/>
          <w:i w:val="0"/>
          <w:iCs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fill="FFFFFF"/>
          <w:lang w:val="en-US" w:eastAsia="zh-CN"/>
        </w:rPr>
        <w:t>4.《</w:t>
      </w:r>
      <w:r>
        <w:rPr>
          <w:rFonts w:hint="eastAsia" w:ascii="仿宋_GB2312" w:hAnsi="仿宋_GB2312" w:eastAsia="仿宋_GB2312" w:cs="仿宋_GB2312"/>
          <w:b w:val="0"/>
          <w:bCs w:val="0"/>
          <w:i w:val="0"/>
          <w:iCs w:val="0"/>
          <w:caps w:val="0"/>
          <w:color w:val="auto"/>
          <w:spacing w:val="0"/>
          <w:sz w:val="32"/>
          <w:szCs w:val="32"/>
          <w:shd w:val="clear" w:fill="FFFFFF"/>
        </w:rPr>
        <w:t>国务院办公厅转发国家发展改革委等部门关于加快推进城镇环境基础设施建设指导意见的通知</w:t>
      </w:r>
      <w:r>
        <w:rPr>
          <w:rFonts w:hint="eastAsia" w:ascii="仿宋_GB2312" w:hAnsi="仿宋_GB2312" w:eastAsia="仿宋_GB2312" w:cs="仿宋_GB2312"/>
          <w:b w:val="0"/>
          <w:bCs w:val="0"/>
          <w:i w:val="0"/>
          <w:iCs w:val="0"/>
          <w:caps w:val="0"/>
          <w:color w:val="auto"/>
          <w:spacing w:val="0"/>
          <w:sz w:val="32"/>
          <w:szCs w:val="32"/>
          <w:shd w:val="clear" w:fill="FFFFFF"/>
          <w:lang w:val="en-US" w:eastAsia="zh-CN"/>
        </w:rPr>
        <w:t>》（</w:t>
      </w:r>
      <w:r>
        <w:rPr>
          <w:rFonts w:hint="eastAsia" w:ascii="仿宋_GB2312" w:hAnsi="仿宋_GB2312" w:eastAsia="仿宋_GB2312" w:cs="仿宋_GB2312"/>
          <w:b w:val="0"/>
          <w:bCs w:val="0"/>
          <w:i w:val="0"/>
          <w:iCs w:val="0"/>
          <w:caps w:val="0"/>
          <w:color w:val="auto"/>
          <w:spacing w:val="0"/>
          <w:sz w:val="32"/>
          <w:szCs w:val="32"/>
          <w:shd w:val="clear" w:fill="FFFFFF"/>
        </w:rPr>
        <w:t>国办函〔2022〕7号</w:t>
      </w:r>
      <w:r>
        <w:rPr>
          <w:rFonts w:hint="eastAsia" w:ascii="仿宋_GB2312" w:hAnsi="仿宋_GB2312" w:eastAsia="仿宋_GB2312" w:cs="仿宋_GB2312"/>
          <w:b w:val="0"/>
          <w:bCs w:val="0"/>
          <w:i w:val="0"/>
          <w:iCs w:val="0"/>
          <w:caps w:val="0"/>
          <w:color w:val="auto"/>
          <w:spacing w:val="0"/>
          <w:sz w:val="32"/>
          <w:szCs w:val="32"/>
          <w:shd w:val="clear" w:fill="FFFFFF"/>
          <w:lang w:val="en-US" w:eastAsia="zh-CN"/>
        </w:rPr>
        <w:t>）</w:t>
      </w:r>
    </w:p>
    <w:p w14:paraId="32E5DDBC">
      <w:pPr>
        <w:pStyle w:val="9"/>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overflowPunct/>
        <w:topLinePunct w:val="0"/>
        <w:autoSpaceDE w:val="0"/>
        <w:autoSpaceDN w:val="0"/>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b w:val="0"/>
          <w:bCs w:val="0"/>
          <w:i w:val="0"/>
          <w:iCs w:val="0"/>
          <w:caps w:val="0"/>
          <w:color w:val="auto"/>
          <w:spacing w:val="0"/>
          <w:sz w:val="32"/>
          <w:szCs w:val="32"/>
          <w:shd w:val="clear" w:fill="FFFFFF"/>
          <w:lang w:val="en-US" w:eastAsia="zh-CN"/>
        </w:rPr>
      </w:pPr>
      <w:r>
        <w:rPr>
          <w:rFonts w:hint="eastAsia" w:ascii="仿宋_GB2312" w:hAnsi="仿宋_GB2312" w:eastAsia="仿宋_GB2312" w:cs="仿宋_GB2312"/>
          <w:b w:val="0"/>
          <w:bCs w:val="0"/>
          <w:i w:val="0"/>
          <w:iCs w:val="0"/>
          <w:caps w:val="0"/>
          <w:color w:val="auto"/>
          <w:spacing w:val="0"/>
          <w:sz w:val="32"/>
          <w:szCs w:val="32"/>
          <w:shd w:val="clear" w:fill="FFFFFF"/>
          <w:lang w:val="en-US" w:eastAsia="zh-CN"/>
        </w:rPr>
        <w:t>5.《住房和城乡建设部关于推进建筑垃圾减量化的指导意见》（建质〔2020〕46号）</w:t>
      </w:r>
    </w:p>
    <w:p w14:paraId="491664FE">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2" w:firstLineChars="200"/>
        <w:textAlignment w:val="baseline"/>
        <w:rPr>
          <w:rFonts w:hint="eastAsia"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6.《关于“十四五”大宗固体废弃物综合利用的指导意见》（发改环资〔2021〕381号）</w:t>
      </w:r>
    </w:p>
    <w:p w14:paraId="14D7B90D">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2" w:firstLineChars="200"/>
        <w:textAlignment w:val="baseline"/>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b w:val="0"/>
          <w:bCs w:val="0"/>
          <w:color w:val="auto"/>
          <w:spacing w:val="8"/>
          <w:sz w:val="32"/>
          <w:szCs w:val="32"/>
          <w:lang w:val="en-US" w:eastAsia="zh-CN"/>
        </w:rPr>
        <w:t>7.</w:t>
      </w:r>
      <w:r>
        <w:rPr>
          <w:rFonts w:hint="eastAsia" w:ascii="仿宋_GB2312" w:hAnsi="仿宋_GB2312" w:eastAsia="仿宋_GB2312" w:cs="仿宋_GB2312"/>
          <w:color w:val="auto"/>
          <w:sz w:val="32"/>
          <w:szCs w:val="32"/>
        </w:rPr>
        <w:t>《甘肃省建筑垃圾减量化工作实施方案》</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甘建办〔2020〕278号</w:t>
      </w:r>
      <w:r>
        <w:rPr>
          <w:rFonts w:hint="eastAsia" w:ascii="仿宋_GB2312" w:hAnsi="仿宋_GB2312" w:eastAsia="仿宋_GB2312" w:cs="仿宋_GB2312"/>
          <w:color w:val="auto"/>
          <w:sz w:val="32"/>
          <w:szCs w:val="32"/>
          <w:lang w:eastAsia="zh-CN"/>
        </w:rPr>
        <w:t>）</w:t>
      </w:r>
    </w:p>
    <w:p w14:paraId="738A1DCC">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0" w:firstLineChars="200"/>
        <w:textAlignment w:val="baseline"/>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8.</w:t>
      </w:r>
      <w:r>
        <w:rPr>
          <w:rFonts w:hint="eastAsia" w:ascii="仿宋_GB2312" w:hAnsi="仿宋_GB2312" w:eastAsia="仿宋_GB2312" w:cs="仿宋_GB2312"/>
          <w:color w:val="auto"/>
          <w:sz w:val="32"/>
          <w:szCs w:val="32"/>
          <w:lang w:eastAsia="zh-CN"/>
        </w:rPr>
        <w:t>《甘肃省住房和城乡建设厅关于规范城市建筑垃圾处置核准有关事项的通知（试行）》甘建城规〔2025〕5号</w:t>
      </w:r>
    </w:p>
    <w:p w14:paraId="135429F5">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9.</w:t>
      </w:r>
      <w:r>
        <w:rPr>
          <w:rFonts w:hint="default" w:ascii="仿宋_GB2312" w:hAnsi="仿宋_GB2312" w:eastAsia="仿宋_GB2312" w:cs="仿宋_GB2312"/>
          <w:b w:val="0"/>
          <w:bCs w:val="0"/>
          <w:color w:val="auto"/>
          <w:spacing w:val="8"/>
          <w:sz w:val="32"/>
          <w:szCs w:val="32"/>
          <w:lang w:val="en-US" w:eastAsia="zh-CN"/>
        </w:rPr>
        <w:t>《张掖市推进城镇环境基础设施建设实施方案》（张政办发〔2022〕152号）​</w:t>
      </w:r>
    </w:p>
    <w:p w14:paraId="50D9792F">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10.</w:t>
      </w:r>
      <w:r>
        <w:rPr>
          <w:rFonts w:hint="default" w:ascii="仿宋_GB2312" w:hAnsi="仿宋_GB2312" w:eastAsia="仿宋_GB2312" w:cs="仿宋_GB2312"/>
          <w:b w:val="0"/>
          <w:bCs w:val="0"/>
          <w:color w:val="auto"/>
          <w:spacing w:val="8"/>
          <w:sz w:val="32"/>
          <w:szCs w:val="32"/>
          <w:lang w:val="en-US" w:eastAsia="zh-CN"/>
        </w:rPr>
        <w:t>《张掖市城市建筑垃圾治理三年行动方案（2025</w:t>
      </w:r>
      <w:r>
        <w:rPr>
          <w:rFonts w:hint="eastAsia" w:ascii="仿宋_GB2312" w:hAnsi="仿宋_GB2312" w:eastAsia="仿宋_GB2312" w:cs="仿宋_GB2312"/>
          <w:b w:val="0"/>
          <w:bCs w:val="0"/>
          <w:color w:val="auto"/>
          <w:spacing w:val="8"/>
          <w:sz w:val="32"/>
          <w:szCs w:val="32"/>
          <w:lang w:val="en-US" w:eastAsia="zh-CN"/>
        </w:rPr>
        <w:t>—</w:t>
      </w:r>
      <w:r>
        <w:rPr>
          <w:rFonts w:hint="default" w:ascii="仿宋_GB2312" w:hAnsi="仿宋_GB2312" w:eastAsia="仿宋_GB2312" w:cs="仿宋_GB2312"/>
          <w:b w:val="0"/>
          <w:bCs w:val="0"/>
          <w:color w:val="auto"/>
          <w:spacing w:val="8"/>
          <w:sz w:val="32"/>
          <w:szCs w:val="32"/>
          <w:lang w:val="en-US" w:eastAsia="zh-CN"/>
        </w:rPr>
        <w:t>2027年）》（征求意见稿）​</w:t>
      </w:r>
    </w:p>
    <w:p w14:paraId="3A5F4BBD">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11.</w:t>
      </w:r>
      <w:r>
        <w:rPr>
          <w:rFonts w:hint="default" w:ascii="仿宋_GB2312" w:hAnsi="仿宋_GB2312" w:eastAsia="仿宋_GB2312" w:cs="仿宋_GB2312"/>
          <w:b w:val="0"/>
          <w:bCs w:val="0"/>
          <w:color w:val="auto"/>
          <w:spacing w:val="8"/>
          <w:sz w:val="32"/>
          <w:szCs w:val="32"/>
          <w:lang w:val="en-US" w:eastAsia="zh-CN"/>
        </w:rPr>
        <w:t>《张掖市关于推进建筑垃圾资源化利用工作的实施意见》（张住建发〔2022〕</w:t>
      </w:r>
      <w:r>
        <w:rPr>
          <w:rFonts w:hint="eastAsia" w:ascii="仿宋_GB2312" w:hAnsi="仿宋_GB2312" w:eastAsia="仿宋_GB2312" w:cs="仿宋_GB2312"/>
          <w:b w:val="0"/>
          <w:bCs w:val="0"/>
          <w:color w:val="auto"/>
          <w:spacing w:val="8"/>
          <w:sz w:val="32"/>
          <w:szCs w:val="32"/>
          <w:lang w:val="en-US" w:eastAsia="zh-CN"/>
        </w:rPr>
        <w:t>74</w:t>
      </w:r>
      <w:r>
        <w:rPr>
          <w:rFonts w:hint="default" w:ascii="仿宋_GB2312" w:hAnsi="仿宋_GB2312" w:eastAsia="仿宋_GB2312" w:cs="仿宋_GB2312"/>
          <w:b w:val="0"/>
          <w:bCs w:val="0"/>
          <w:color w:val="auto"/>
          <w:spacing w:val="8"/>
          <w:sz w:val="32"/>
          <w:szCs w:val="32"/>
          <w:lang w:val="en-US" w:eastAsia="zh-CN"/>
        </w:rPr>
        <w:t>号）​</w:t>
      </w:r>
    </w:p>
    <w:p w14:paraId="0F4211BA">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12.</w:t>
      </w:r>
      <w:r>
        <w:rPr>
          <w:rFonts w:hint="default" w:ascii="仿宋_GB2312" w:hAnsi="仿宋_GB2312" w:eastAsia="仿宋_GB2312" w:cs="仿宋_GB2312"/>
          <w:b w:val="0"/>
          <w:bCs w:val="0"/>
          <w:color w:val="auto"/>
          <w:spacing w:val="8"/>
          <w:sz w:val="32"/>
          <w:szCs w:val="32"/>
          <w:lang w:val="en-US" w:eastAsia="zh-CN"/>
        </w:rPr>
        <w:t>《张掖市国土空间总体规划（2021—2035年</w:t>
      </w:r>
      <w:r>
        <w:rPr>
          <w:rFonts w:hint="eastAsia" w:ascii="仿宋_GB2312" w:hAnsi="仿宋_GB2312" w:eastAsia="仿宋_GB2312" w:cs="仿宋_GB2312"/>
          <w:b w:val="0"/>
          <w:bCs w:val="0"/>
          <w:color w:val="auto"/>
          <w:spacing w:val="8"/>
          <w:sz w:val="32"/>
          <w:szCs w:val="32"/>
          <w:lang w:val="en-US" w:eastAsia="zh-CN"/>
        </w:rPr>
        <w:t>）》</w:t>
      </w:r>
    </w:p>
    <w:p w14:paraId="2077260F">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13.《张掖市生态环境保护“十四五”规划》</w:t>
      </w:r>
      <w:r>
        <w:rPr>
          <w:rFonts w:hint="default" w:ascii="仿宋_GB2312" w:hAnsi="仿宋_GB2312" w:eastAsia="仿宋_GB2312" w:cs="仿宋_GB2312"/>
          <w:b w:val="0"/>
          <w:bCs w:val="0"/>
          <w:color w:val="auto"/>
          <w:spacing w:val="8"/>
          <w:sz w:val="32"/>
          <w:szCs w:val="32"/>
          <w:lang w:val="en-US" w:eastAsia="zh-CN"/>
        </w:rPr>
        <w:t>​</w:t>
      </w:r>
    </w:p>
    <w:p w14:paraId="0393DBDE">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14.</w:t>
      </w:r>
      <w:r>
        <w:rPr>
          <w:rFonts w:hint="default" w:ascii="仿宋_GB2312" w:hAnsi="仿宋_GB2312" w:eastAsia="仿宋_GB2312" w:cs="仿宋_GB2312"/>
          <w:b w:val="0"/>
          <w:bCs w:val="0"/>
          <w:color w:val="auto"/>
          <w:spacing w:val="8"/>
          <w:sz w:val="32"/>
          <w:szCs w:val="32"/>
          <w:lang w:val="en-US" w:eastAsia="zh-CN"/>
        </w:rPr>
        <w:t>《甘州区国民经济和社会发展第十四个五年规划和二〇三五年远景目标纲要》​</w:t>
      </w:r>
    </w:p>
    <w:p w14:paraId="29A94B00">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15.</w:t>
      </w:r>
      <w:r>
        <w:rPr>
          <w:rFonts w:hint="default" w:ascii="仿宋_GB2312" w:hAnsi="仿宋_GB2312" w:eastAsia="仿宋_GB2312" w:cs="仿宋_GB2312"/>
          <w:b w:val="0"/>
          <w:bCs w:val="0"/>
          <w:color w:val="auto"/>
          <w:spacing w:val="8"/>
          <w:sz w:val="32"/>
          <w:szCs w:val="32"/>
          <w:lang w:val="en-US" w:eastAsia="zh-CN"/>
        </w:rPr>
        <w:t>《甘州区</w:t>
      </w:r>
      <w:r>
        <w:rPr>
          <w:rFonts w:hint="eastAsia" w:ascii="仿宋_GB2312" w:hAnsi="仿宋_GB2312" w:eastAsia="仿宋_GB2312" w:cs="仿宋_GB2312"/>
          <w:b w:val="0"/>
          <w:bCs w:val="0"/>
          <w:color w:val="auto"/>
          <w:spacing w:val="8"/>
          <w:sz w:val="32"/>
          <w:szCs w:val="32"/>
          <w:lang w:val="en-US" w:eastAsia="zh-CN"/>
        </w:rPr>
        <w:t>国土空间</w:t>
      </w:r>
      <w:r>
        <w:rPr>
          <w:rFonts w:hint="default" w:ascii="仿宋_GB2312" w:hAnsi="仿宋_GB2312" w:eastAsia="仿宋_GB2312" w:cs="仿宋_GB2312"/>
          <w:b w:val="0"/>
          <w:bCs w:val="0"/>
          <w:color w:val="auto"/>
          <w:spacing w:val="8"/>
          <w:sz w:val="32"/>
          <w:szCs w:val="32"/>
          <w:lang w:val="en-US" w:eastAsia="zh-CN"/>
        </w:rPr>
        <w:t>总体规划（20</w:t>
      </w:r>
      <w:r>
        <w:rPr>
          <w:rFonts w:hint="eastAsia" w:ascii="仿宋_GB2312" w:hAnsi="仿宋_GB2312" w:eastAsia="仿宋_GB2312" w:cs="仿宋_GB2312"/>
          <w:b w:val="0"/>
          <w:bCs w:val="0"/>
          <w:color w:val="auto"/>
          <w:spacing w:val="8"/>
          <w:sz w:val="32"/>
          <w:szCs w:val="32"/>
          <w:lang w:val="en-US" w:eastAsia="zh-CN"/>
        </w:rPr>
        <w:t>21—</w:t>
      </w:r>
      <w:r>
        <w:rPr>
          <w:rFonts w:hint="default" w:ascii="仿宋_GB2312" w:hAnsi="仿宋_GB2312" w:eastAsia="仿宋_GB2312" w:cs="仿宋_GB2312"/>
          <w:b w:val="0"/>
          <w:bCs w:val="0"/>
          <w:color w:val="auto"/>
          <w:spacing w:val="8"/>
          <w:sz w:val="32"/>
          <w:szCs w:val="32"/>
          <w:lang w:val="en-US" w:eastAsia="zh-CN"/>
        </w:rPr>
        <w:t>2035年</w:t>
      </w:r>
      <w:r>
        <w:rPr>
          <w:rFonts w:hint="eastAsia" w:ascii="仿宋_GB2312" w:hAnsi="仿宋_GB2312" w:eastAsia="仿宋_GB2312" w:cs="仿宋_GB2312"/>
          <w:b w:val="0"/>
          <w:bCs w:val="0"/>
          <w:color w:val="auto"/>
          <w:spacing w:val="8"/>
          <w:sz w:val="32"/>
          <w:szCs w:val="32"/>
          <w:lang w:val="en-US" w:eastAsia="zh-CN"/>
        </w:rPr>
        <w:t>）》</w:t>
      </w:r>
    </w:p>
    <w:p w14:paraId="055A98C4">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28" w:firstLineChars="200"/>
        <w:textAlignment w:val="baseline"/>
        <w:outlineLvl w:val="0"/>
        <w:rPr>
          <w:rFonts w:hint="default" w:ascii="仿宋_GB2312" w:hAnsi="仿宋_GB2312" w:eastAsia="仿宋_GB2312" w:cs="仿宋_GB2312"/>
          <w:b w:val="0"/>
          <w:bCs w:val="0"/>
          <w:color w:val="auto"/>
          <w:spacing w:val="8"/>
          <w:sz w:val="32"/>
          <w:szCs w:val="32"/>
          <w:lang w:val="en-US" w:eastAsia="zh-CN"/>
        </w:rPr>
      </w:pPr>
      <w:bookmarkStart w:id="66" w:name="_Toc28126"/>
      <w:bookmarkStart w:id="67" w:name="_Toc21820"/>
      <w:bookmarkStart w:id="68" w:name="_Toc194"/>
      <w:bookmarkStart w:id="69" w:name="_Toc3804"/>
      <w:r>
        <w:rPr>
          <w:rFonts w:hint="eastAsia" w:ascii="黑体" w:hAnsi="黑体" w:eastAsia="黑体" w:cs="黑体"/>
          <w:b w:val="0"/>
          <w:bCs w:val="0"/>
          <w:color w:val="auto"/>
          <w:spacing w:val="2"/>
          <w:sz w:val="31"/>
          <w:szCs w:val="31"/>
        </w:rPr>
        <w:t>五</w:t>
      </w:r>
      <w:r>
        <w:rPr>
          <w:rFonts w:hint="eastAsia" w:ascii="黑体" w:hAnsi="黑体" w:eastAsia="黑体" w:cs="黑体"/>
          <w:b w:val="0"/>
          <w:bCs w:val="0"/>
          <w:color w:val="auto"/>
          <w:spacing w:val="2"/>
          <w:sz w:val="31"/>
          <w:szCs w:val="31"/>
          <w:lang w:eastAsia="zh-CN"/>
        </w:rPr>
        <w:t>、</w:t>
      </w:r>
      <w:r>
        <w:rPr>
          <w:rFonts w:hint="eastAsia" w:ascii="黑体" w:hAnsi="黑体" w:eastAsia="黑体" w:cs="黑体"/>
          <w:b w:val="0"/>
          <w:bCs w:val="0"/>
          <w:color w:val="auto"/>
          <w:spacing w:val="2"/>
          <w:sz w:val="31"/>
          <w:szCs w:val="31"/>
        </w:rPr>
        <w:t>规划范围</w:t>
      </w:r>
      <w:bookmarkEnd w:id="66"/>
      <w:bookmarkEnd w:id="67"/>
      <w:bookmarkEnd w:id="68"/>
      <w:bookmarkEnd w:id="69"/>
    </w:p>
    <w:p w14:paraId="3DFCE6CD">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default" w:ascii="仿宋_GB2312" w:hAnsi="仿宋_GB2312" w:eastAsia="仿宋_GB2312" w:cs="仿宋_GB2312"/>
          <w:b w:val="0"/>
          <w:bCs w:val="0"/>
          <w:color w:val="auto"/>
          <w:spacing w:val="8"/>
          <w:sz w:val="32"/>
          <w:szCs w:val="32"/>
          <w:lang w:val="en-US" w:eastAsia="zh-CN"/>
        </w:rPr>
        <w:t>本规划范围为张掖市甘州区</w:t>
      </w:r>
      <w:r>
        <w:rPr>
          <w:rFonts w:hint="eastAsia" w:ascii="仿宋_GB2312" w:hAnsi="仿宋_GB2312" w:eastAsia="仿宋_GB2312" w:cs="仿宋_GB2312"/>
          <w:b w:val="0"/>
          <w:bCs w:val="0"/>
          <w:color w:val="auto"/>
          <w:spacing w:val="8"/>
          <w:sz w:val="32"/>
          <w:szCs w:val="32"/>
          <w:lang w:val="en-US" w:eastAsia="zh-CN"/>
        </w:rPr>
        <w:t>全域</w:t>
      </w:r>
      <w:r>
        <w:rPr>
          <w:rFonts w:hint="default" w:ascii="仿宋_GB2312" w:hAnsi="仿宋_GB2312" w:eastAsia="仿宋_GB2312" w:cs="仿宋_GB2312"/>
          <w:b w:val="0"/>
          <w:bCs w:val="0"/>
          <w:color w:val="auto"/>
          <w:spacing w:val="8"/>
          <w:sz w:val="32"/>
          <w:szCs w:val="32"/>
          <w:lang w:val="en-US" w:eastAsia="zh-CN"/>
        </w:rPr>
        <w:t>，具体</w:t>
      </w:r>
      <w:r>
        <w:rPr>
          <w:rFonts w:hint="eastAsia" w:ascii="仿宋_GB2312" w:hAnsi="仿宋_GB2312" w:eastAsia="仿宋_GB2312" w:cs="仿宋_GB2312"/>
          <w:b w:val="0"/>
          <w:bCs w:val="0"/>
          <w:color w:val="auto"/>
          <w:spacing w:val="8"/>
          <w:sz w:val="32"/>
          <w:szCs w:val="32"/>
          <w:lang w:val="en-US" w:eastAsia="zh-CN"/>
        </w:rPr>
        <w:t>包括</w:t>
      </w:r>
      <w:r>
        <w:rPr>
          <w:rFonts w:hint="default" w:ascii="仿宋_GB2312" w:hAnsi="仿宋_GB2312" w:eastAsia="仿宋_GB2312" w:cs="仿宋_GB2312"/>
          <w:b w:val="0"/>
          <w:bCs w:val="0"/>
          <w:color w:val="auto"/>
          <w:spacing w:val="8"/>
          <w:sz w:val="32"/>
          <w:szCs w:val="32"/>
          <w:lang w:val="en-US" w:eastAsia="zh-CN"/>
        </w:rPr>
        <w:t>甘州区</w:t>
      </w:r>
      <w:r>
        <w:rPr>
          <w:rFonts w:hint="eastAsia" w:ascii="仿宋_GB2312" w:hAnsi="仿宋_GB2312" w:eastAsia="仿宋_GB2312" w:cs="仿宋_GB2312"/>
          <w:b w:val="0"/>
          <w:bCs w:val="0"/>
          <w:color w:val="auto"/>
          <w:spacing w:val="8"/>
          <w:sz w:val="32"/>
          <w:szCs w:val="32"/>
          <w:lang w:val="en-US" w:eastAsia="zh-CN"/>
        </w:rPr>
        <w:t>中心城区（</w:t>
      </w:r>
      <w:r>
        <w:rPr>
          <w:rFonts w:hint="eastAsia" w:ascii="仿宋_GB2312" w:hAnsi="仿宋_GB2312" w:eastAsia="仿宋_GB2312" w:cs="仿宋_GB2312"/>
          <w:color w:val="auto"/>
          <w:spacing w:val="-4"/>
          <w:sz w:val="32"/>
          <w:szCs w:val="32"/>
          <w:lang w:eastAsia="zh-CN"/>
        </w:rPr>
        <w:t>甘州区</w:t>
      </w:r>
      <w:r>
        <w:rPr>
          <w:rFonts w:hint="eastAsia" w:ascii="仿宋_GB2312" w:hAnsi="仿宋_GB2312" w:eastAsia="仿宋_GB2312" w:cs="仿宋_GB2312"/>
          <w:color w:val="auto"/>
          <w:spacing w:val="-4"/>
          <w:sz w:val="32"/>
          <w:szCs w:val="32"/>
        </w:rPr>
        <w:t>主城区</w:t>
      </w:r>
      <w:r>
        <w:rPr>
          <w:rFonts w:hint="eastAsia" w:ascii="仿宋_GB2312" w:hAnsi="仿宋_GB2312" w:eastAsia="仿宋_GB2312" w:cs="仿宋_GB2312"/>
          <w:color w:val="auto"/>
          <w:spacing w:val="-4"/>
          <w:sz w:val="32"/>
          <w:szCs w:val="32"/>
          <w:lang w:eastAsia="zh-CN"/>
        </w:rPr>
        <w:t>、</w:t>
      </w:r>
      <w:r>
        <w:rPr>
          <w:rFonts w:hint="eastAsia" w:ascii="仿宋_GB2312" w:hAnsi="仿宋_GB2312" w:eastAsia="仿宋_GB2312" w:cs="仿宋_GB2312"/>
          <w:color w:val="auto"/>
          <w:spacing w:val="-4"/>
          <w:sz w:val="32"/>
          <w:szCs w:val="32"/>
          <w:lang w:val="en-US" w:eastAsia="zh-CN"/>
        </w:rPr>
        <w:t>滨河新区</w:t>
      </w:r>
      <w:r>
        <w:rPr>
          <w:rFonts w:hint="eastAsia" w:ascii="仿宋_GB2312" w:hAnsi="仿宋_GB2312" w:eastAsia="仿宋_GB2312" w:cs="仿宋_GB2312"/>
          <w:color w:val="auto"/>
          <w:spacing w:val="-4"/>
          <w:sz w:val="32"/>
          <w:szCs w:val="32"/>
        </w:rPr>
        <w:t>范围和国土空间规划城镇开发边界划定范围</w:t>
      </w:r>
      <w:r>
        <w:rPr>
          <w:rFonts w:hint="eastAsia" w:ascii="仿宋_GB2312" w:hAnsi="仿宋_GB2312" w:eastAsia="仿宋_GB2312" w:cs="仿宋_GB2312"/>
          <w:b w:val="0"/>
          <w:bCs w:val="0"/>
          <w:color w:val="auto"/>
          <w:spacing w:val="8"/>
          <w:sz w:val="32"/>
          <w:szCs w:val="32"/>
          <w:lang w:val="en-US" w:eastAsia="zh-CN"/>
        </w:rPr>
        <w:t>），甘州区</w:t>
      </w:r>
      <w:r>
        <w:rPr>
          <w:rFonts w:hint="default" w:ascii="仿宋_GB2312" w:hAnsi="仿宋_GB2312" w:eastAsia="仿宋_GB2312" w:cs="仿宋_GB2312"/>
          <w:b w:val="0"/>
          <w:bCs w:val="0"/>
          <w:color w:val="auto"/>
          <w:spacing w:val="8"/>
          <w:sz w:val="32"/>
          <w:szCs w:val="32"/>
          <w:lang w:val="en-US" w:eastAsia="zh-CN"/>
        </w:rPr>
        <w:t>东街街道、西街街道、南街街道、北街街道、火车站街道5个街道</w:t>
      </w:r>
      <w:r>
        <w:rPr>
          <w:rFonts w:hint="eastAsia" w:ascii="仿宋_GB2312" w:hAnsi="仿宋_GB2312" w:eastAsia="仿宋_GB2312" w:cs="仿宋_GB2312"/>
          <w:b w:val="0"/>
          <w:bCs w:val="0"/>
          <w:color w:val="auto"/>
          <w:spacing w:val="8"/>
          <w:sz w:val="32"/>
          <w:szCs w:val="32"/>
          <w:lang w:val="en-US" w:eastAsia="zh-CN"/>
        </w:rPr>
        <w:t>以及</w:t>
      </w:r>
      <w:r>
        <w:rPr>
          <w:rFonts w:hint="eastAsia" w:ascii="仿宋_GB2312" w:hAnsi="仿宋_GB2312" w:eastAsia="仿宋_GB2312" w:cs="仿宋_GB2312"/>
          <w:color w:val="auto"/>
          <w:spacing w:val="0"/>
          <w:sz w:val="32"/>
          <w:szCs w:val="32"/>
        </w:rPr>
        <w:t>梁家墩镇、上秦</w:t>
      </w:r>
      <w:r>
        <w:rPr>
          <w:rFonts w:hint="eastAsia" w:ascii="仿宋_GB2312" w:hAnsi="仿宋_GB2312" w:eastAsia="仿宋_GB2312" w:cs="仿宋_GB2312"/>
          <w:color w:val="auto"/>
          <w:spacing w:val="0"/>
          <w:sz w:val="32"/>
          <w:szCs w:val="32"/>
          <w:lang w:val="en-US" w:eastAsia="zh-CN"/>
        </w:rPr>
        <w:t>镇</w:t>
      </w:r>
      <w:r>
        <w:rPr>
          <w:rFonts w:hint="eastAsia" w:ascii="仿宋_GB2312" w:hAnsi="仿宋_GB2312" w:eastAsia="仿宋_GB2312" w:cs="仿宋_GB2312"/>
          <w:color w:val="auto"/>
          <w:spacing w:val="0"/>
          <w:sz w:val="32"/>
          <w:szCs w:val="32"/>
        </w:rPr>
        <w:t>、</w:t>
      </w:r>
      <w:r>
        <w:rPr>
          <w:rFonts w:hint="eastAsia" w:ascii="仿宋_GB2312" w:hAnsi="仿宋_GB2312" w:eastAsia="仿宋_GB2312" w:cs="仿宋_GB2312"/>
          <w:color w:val="auto"/>
          <w:spacing w:val="0"/>
          <w:sz w:val="32"/>
          <w:szCs w:val="32"/>
          <w:lang w:val="en-US" w:eastAsia="zh-CN"/>
        </w:rPr>
        <w:t>乌江</w:t>
      </w:r>
      <w:r>
        <w:rPr>
          <w:rFonts w:hint="eastAsia" w:ascii="仿宋_GB2312" w:hAnsi="仿宋_GB2312" w:eastAsia="仿宋_GB2312" w:cs="仿宋_GB2312"/>
          <w:color w:val="auto"/>
          <w:spacing w:val="0"/>
          <w:sz w:val="32"/>
          <w:szCs w:val="32"/>
        </w:rPr>
        <w:t>镇、大满镇</w:t>
      </w:r>
      <w:r>
        <w:rPr>
          <w:rFonts w:hint="eastAsia" w:ascii="仿宋_GB2312" w:hAnsi="仿宋_GB2312" w:eastAsia="仿宋_GB2312" w:cs="仿宋_GB2312"/>
          <w:color w:val="auto"/>
          <w:spacing w:val="0"/>
          <w:sz w:val="32"/>
          <w:szCs w:val="32"/>
          <w:lang w:eastAsia="zh-CN"/>
        </w:rPr>
        <w:t>等</w:t>
      </w:r>
      <w:r>
        <w:rPr>
          <w:rFonts w:hint="eastAsia" w:ascii="仿宋_GB2312" w:hAnsi="仿宋_GB2312" w:eastAsia="仿宋_GB2312" w:cs="仿宋_GB2312"/>
          <w:b w:val="0"/>
          <w:bCs w:val="0"/>
          <w:color w:val="auto"/>
          <w:spacing w:val="8"/>
          <w:sz w:val="32"/>
          <w:szCs w:val="32"/>
          <w:lang w:val="en-US" w:eastAsia="zh-CN"/>
        </w:rPr>
        <w:t>18个乡镇。其中</w:t>
      </w:r>
      <w:r>
        <w:rPr>
          <w:rFonts w:hint="default" w:ascii="仿宋_GB2312" w:hAnsi="仿宋_GB2312" w:eastAsia="仿宋_GB2312" w:cs="仿宋_GB2312"/>
          <w:b w:val="0"/>
          <w:bCs w:val="0"/>
          <w:color w:val="auto"/>
          <w:spacing w:val="8"/>
          <w:sz w:val="32"/>
          <w:szCs w:val="32"/>
          <w:lang w:val="en-US" w:eastAsia="zh-CN"/>
        </w:rPr>
        <w:t>甘州区</w:t>
      </w:r>
      <w:r>
        <w:rPr>
          <w:rFonts w:hint="eastAsia" w:ascii="仿宋_GB2312" w:hAnsi="仿宋_GB2312" w:eastAsia="仿宋_GB2312" w:cs="仿宋_GB2312"/>
          <w:b w:val="0"/>
          <w:bCs w:val="0"/>
          <w:color w:val="auto"/>
          <w:spacing w:val="8"/>
          <w:sz w:val="32"/>
          <w:szCs w:val="32"/>
          <w:lang w:val="en-US" w:eastAsia="zh-CN"/>
        </w:rPr>
        <w:t>中心城区</w:t>
      </w:r>
      <w:r>
        <w:rPr>
          <w:rFonts w:hint="default" w:ascii="仿宋_GB2312" w:hAnsi="仿宋_GB2312" w:eastAsia="仿宋_GB2312" w:cs="仿宋_GB2312"/>
          <w:b w:val="0"/>
          <w:bCs w:val="0"/>
          <w:color w:val="auto"/>
          <w:spacing w:val="8"/>
          <w:sz w:val="32"/>
          <w:szCs w:val="32"/>
          <w:lang w:val="en-US" w:eastAsia="zh-CN"/>
        </w:rPr>
        <w:t>是甘州区建筑垃圾产生、收运、处置及资源化利用的核心区域，也是本次污染防治工作的重点实施范围。</w:t>
      </w:r>
    </w:p>
    <w:p w14:paraId="305FFA8C">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28" w:firstLineChars="200"/>
        <w:textAlignment w:val="baseline"/>
        <w:outlineLvl w:val="0"/>
        <w:rPr>
          <w:rFonts w:hint="eastAsia" w:ascii="黑体" w:hAnsi="黑体" w:eastAsia="黑体" w:cs="黑体"/>
          <w:b w:val="0"/>
          <w:bCs w:val="0"/>
          <w:color w:val="auto"/>
          <w:spacing w:val="2"/>
          <w:sz w:val="31"/>
          <w:szCs w:val="31"/>
        </w:rPr>
      </w:pPr>
      <w:bookmarkStart w:id="70" w:name="_Toc7438"/>
      <w:bookmarkStart w:id="71" w:name="_Toc26370"/>
      <w:bookmarkStart w:id="72" w:name="_Toc16501"/>
      <w:bookmarkStart w:id="73" w:name="_Toc9320"/>
      <w:r>
        <w:rPr>
          <w:rFonts w:hint="eastAsia" w:ascii="黑体" w:hAnsi="黑体" w:eastAsia="黑体" w:cs="黑体"/>
          <w:b w:val="0"/>
          <w:bCs w:val="0"/>
          <w:color w:val="auto"/>
          <w:spacing w:val="2"/>
          <w:sz w:val="31"/>
          <w:szCs w:val="31"/>
        </w:rPr>
        <w:t>六</w:t>
      </w:r>
      <w:r>
        <w:rPr>
          <w:rFonts w:hint="eastAsia" w:ascii="黑体" w:hAnsi="黑体" w:eastAsia="黑体" w:cs="黑体"/>
          <w:b w:val="0"/>
          <w:bCs w:val="0"/>
          <w:color w:val="auto"/>
          <w:spacing w:val="2"/>
          <w:sz w:val="31"/>
          <w:szCs w:val="31"/>
          <w:lang w:eastAsia="zh-CN"/>
        </w:rPr>
        <w:t>、</w:t>
      </w:r>
      <w:r>
        <w:rPr>
          <w:rFonts w:hint="eastAsia" w:ascii="黑体" w:hAnsi="黑体" w:eastAsia="黑体" w:cs="黑体"/>
          <w:b w:val="0"/>
          <w:bCs w:val="0"/>
          <w:color w:val="auto"/>
          <w:spacing w:val="2"/>
          <w:sz w:val="31"/>
          <w:szCs w:val="31"/>
        </w:rPr>
        <w:t>规划对象</w:t>
      </w:r>
      <w:bookmarkEnd w:id="70"/>
      <w:bookmarkEnd w:id="71"/>
      <w:bookmarkEnd w:id="72"/>
      <w:bookmarkEnd w:id="73"/>
    </w:p>
    <w:p w14:paraId="02F453EA">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2" w:firstLineChars="200"/>
        <w:textAlignment w:val="baseline"/>
        <w:rPr>
          <w:rFonts w:hint="default" w:ascii="仿宋_GB2312" w:hAnsi="仿宋_GB2312" w:eastAsia="仿宋" w:cs="仿宋_GB2312"/>
          <w:b w:val="0"/>
          <w:bCs w:val="0"/>
          <w:color w:val="auto"/>
          <w:spacing w:val="8"/>
          <w:sz w:val="32"/>
          <w:szCs w:val="32"/>
          <w:lang w:val="en-US" w:eastAsia="zh-CN"/>
        </w:rPr>
      </w:pPr>
      <w:r>
        <w:rPr>
          <w:rFonts w:hint="default" w:ascii="仿宋_GB2312" w:hAnsi="仿宋_GB2312" w:eastAsia="仿宋_GB2312" w:cs="仿宋_GB2312"/>
          <w:b w:val="0"/>
          <w:bCs w:val="0"/>
          <w:color w:val="auto"/>
          <w:spacing w:val="8"/>
          <w:sz w:val="32"/>
          <w:szCs w:val="32"/>
          <w:lang w:val="en-US" w:eastAsia="zh-CN"/>
        </w:rPr>
        <w:t>规划对象为</w:t>
      </w:r>
      <w:r>
        <w:rPr>
          <w:rFonts w:hint="eastAsia" w:ascii="仿宋_GB2312" w:hAnsi="仿宋_GB2312" w:eastAsia="仿宋_GB2312" w:cs="仿宋_GB2312"/>
          <w:b w:val="0"/>
          <w:bCs w:val="0"/>
          <w:color w:val="auto"/>
          <w:spacing w:val="8"/>
          <w:sz w:val="32"/>
          <w:szCs w:val="32"/>
          <w:lang w:val="en-US" w:eastAsia="zh-CN"/>
        </w:rPr>
        <w:t>甘州区</w:t>
      </w:r>
      <w:r>
        <w:rPr>
          <w:rFonts w:hint="default" w:ascii="仿宋_GB2312" w:hAnsi="仿宋_GB2312" w:eastAsia="仿宋_GB2312" w:cs="仿宋_GB2312"/>
          <w:b w:val="0"/>
          <w:bCs w:val="0"/>
          <w:color w:val="auto"/>
          <w:spacing w:val="8"/>
          <w:sz w:val="32"/>
          <w:szCs w:val="32"/>
          <w:lang w:val="en-US" w:eastAsia="zh-CN"/>
        </w:rPr>
        <w:t>建设单位、施工单位新建、改建、扩建和拆除各类建筑物、构筑物、管网等以及居民装饰装修房屋过程中所产生的弃土、弃料及其</w:t>
      </w:r>
      <w:r>
        <w:rPr>
          <w:rFonts w:hint="eastAsia" w:ascii="仿宋_GB2312" w:hAnsi="仿宋_GB2312" w:eastAsia="仿宋_GB2312" w:cs="仿宋_GB2312"/>
          <w:b w:val="0"/>
          <w:bCs w:val="0"/>
          <w:color w:val="auto"/>
          <w:spacing w:val="8"/>
          <w:sz w:val="32"/>
          <w:szCs w:val="32"/>
          <w:lang w:val="en-US" w:eastAsia="zh-CN"/>
        </w:rPr>
        <w:t>他</w:t>
      </w:r>
      <w:r>
        <w:rPr>
          <w:rFonts w:hint="default" w:ascii="仿宋_GB2312" w:hAnsi="仿宋_GB2312" w:eastAsia="仿宋_GB2312" w:cs="仿宋_GB2312"/>
          <w:b w:val="0"/>
          <w:bCs w:val="0"/>
          <w:color w:val="auto"/>
          <w:spacing w:val="8"/>
          <w:sz w:val="32"/>
          <w:szCs w:val="32"/>
          <w:lang w:val="en-US" w:eastAsia="zh-CN"/>
        </w:rPr>
        <w:t>废弃物</w:t>
      </w:r>
      <w:r>
        <w:rPr>
          <w:rFonts w:hint="eastAsia" w:ascii="仿宋_GB2312" w:hAnsi="仿宋_GB2312" w:eastAsia="仿宋_GB2312" w:cs="仿宋_GB2312"/>
          <w:b w:val="0"/>
          <w:bCs w:val="0"/>
          <w:color w:val="auto"/>
          <w:spacing w:val="8"/>
          <w:sz w:val="32"/>
          <w:szCs w:val="32"/>
          <w:lang w:val="en-US" w:eastAsia="zh-CN"/>
        </w:rPr>
        <w:t>，具体包含工程渣土、工程垃圾、拆迁垃圾和装修垃圾四类。</w:t>
      </w:r>
    </w:p>
    <w:p w14:paraId="154E4817">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28" w:firstLineChars="200"/>
        <w:textAlignment w:val="baseline"/>
        <w:outlineLvl w:val="0"/>
        <w:rPr>
          <w:rFonts w:ascii="楷体" w:hAnsi="楷体" w:eastAsia="楷体" w:cs="楷体"/>
          <w:color w:val="auto"/>
          <w:sz w:val="31"/>
          <w:szCs w:val="31"/>
        </w:rPr>
      </w:pPr>
      <w:bookmarkStart w:id="74" w:name="_Toc3757"/>
      <w:bookmarkStart w:id="75" w:name="_Toc26025"/>
      <w:bookmarkStart w:id="76" w:name="_Toc16465"/>
      <w:bookmarkStart w:id="77" w:name="_Toc7649"/>
      <w:r>
        <w:rPr>
          <w:rFonts w:hint="eastAsia" w:ascii="黑体" w:hAnsi="黑体" w:eastAsia="黑体" w:cs="黑体"/>
          <w:b w:val="0"/>
          <w:bCs w:val="0"/>
          <w:color w:val="auto"/>
          <w:spacing w:val="2"/>
          <w:sz w:val="31"/>
          <w:szCs w:val="31"/>
        </w:rPr>
        <w:t>七</w:t>
      </w:r>
      <w:r>
        <w:rPr>
          <w:rFonts w:hint="eastAsia" w:ascii="黑体" w:hAnsi="黑体" w:eastAsia="黑体" w:cs="黑体"/>
          <w:b w:val="0"/>
          <w:bCs w:val="0"/>
          <w:color w:val="auto"/>
          <w:spacing w:val="2"/>
          <w:sz w:val="31"/>
          <w:szCs w:val="31"/>
          <w:lang w:eastAsia="zh-CN"/>
        </w:rPr>
        <w:t>、</w:t>
      </w:r>
      <w:r>
        <w:rPr>
          <w:rFonts w:hint="eastAsia" w:ascii="黑体" w:hAnsi="黑体" w:eastAsia="黑体" w:cs="黑体"/>
          <w:b w:val="0"/>
          <w:bCs w:val="0"/>
          <w:color w:val="auto"/>
          <w:spacing w:val="2"/>
          <w:sz w:val="31"/>
          <w:szCs w:val="31"/>
        </w:rPr>
        <w:t>规划期限</w:t>
      </w:r>
      <w:bookmarkEnd w:id="74"/>
      <w:bookmarkEnd w:id="75"/>
      <w:bookmarkEnd w:id="76"/>
      <w:bookmarkEnd w:id="77"/>
    </w:p>
    <w:p w14:paraId="62B1A21F">
      <w:pPr>
        <w:keepNext w:val="0"/>
        <w:keepLines w:val="0"/>
        <w:pageBreakBefore w:val="0"/>
        <w:widowControl w:val="0"/>
        <w:kinsoku/>
        <w:wordWrap w:val="0"/>
        <w:overflowPunct/>
        <w:topLinePunct w:val="0"/>
        <w:autoSpaceDE w:val="0"/>
        <w:autoSpaceDN w:val="0"/>
        <w:bidi w:val="0"/>
        <w:adjustRightInd w:val="0"/>
        <w:snapToGrid w:val="0"/>
        <w:spacing w:line="560" w:lineRule="exact"/>
        <w:ind w:left="0" w:right="0" w:firstLine="672" w:firstLineChars="200"/>
        <w:jc w:val="both"/>
        <w:textAlignment w:val="baseline"/>
        <w:rPr>
          <w:rFonts w:hint="default" w:ascii="仿宋_GB2312" w:hAnsi="仿宋_GB2312" w:eastAsia="仿宋_GB2312" w:cs="仿宋_GB2312"/>
          <w:b w:val="0"/>
          <w:bCs w:val="0"/>
          <w:color w:val="auto"/>
          <w:spacing w:val="8"/>
          <w:sz w:val="32"/>
          <w:szCs w:val="32"/>
          <w:lang w:val="en-US" w:eastAsia="zh-CN"/>
        </w:rPr>
      </w:pPr>
      <w:r>
        <w:rPr>
          <w:rFonts w:hint="default" w:ascii="仿宋_GB2312" w:hAnsi="仿宋_GB2312" w:eastAsia="仿宋_GB2312" w:cs="仿宋_GB2312"/>
          <w:b w:val="0"/>
          <w:bCs w:val="0"/>
          <w:color w:val="auto"/>
          <w:spacing w:val="8"/>
          <w:sz w:val="32"/>
          <w:szCs w:val="32"/>
          <w:lang w:val="en-US" w:eastAsia="zh-CN"/>
        </w:rPr>
        <w:t>规划基期年为202</w:t>
      </w:r>
      <w:r>
        <w:rPr>
          <w:rFonts w:hint="eastAsia" w:ascii="仿宋_GB2312" w:hAnsi="仿宋_GB2312" w:eastAsia="仿宋_GB2312" w:cs="仿宋_GB2312"/>
          <w:b w:val="0"/>
          <w:bCs w:val="0"/>
          <w:color w:val="auto"/>
          <w:spacing w:val="8"/>
          <w:sz w:val="32"/>
          <w:szCs w:val="32"/>
          <w:lang w:val="en-US" w:eastAsia="zh-CN"/>
        </w:rPr>
        <w:t>4</w:t>
      </w:r>
      <w:r>
        <w:rPr>
          <w:rFonts w:hint="default" w:ascii="仿宋_GB2312" w:hAnsi="仿宋_GB2312" w:eastAsia="仿宋_GB2312" w:cs="仿宋_GB2312"/>
          <w:b w:val="0"/>
          <w:bCs w:val="0"/>
          <w:color w:val="auto"/>
          <w:spacing w:val="8"/>
          <w:sz w:val="32"/>
          <w:szCs w:val="32"/>
          <w:lang w:val="en-US" w:eastAsia="zh-CN"/>
        </w:rPr>
        <w:t>年，近期：202</w:t>
      </w:r>
      <w:r>
        <w:rPr>
          <w:rFonts w:hint="eastAsia" w:ascii="仿宋_GB2312" w:hAnsi="仿宋_GB2312" w:eastAsia="仿宋_GB2312" w:cs="仿宋_GB2312"/>
          <w:b w:val="0"/>
          <w:bCs w:val="0"/>
          <w:color w:val="auto"/>
          <w:spacing w:val="8"/>
          <w:sz w:val="32"/>
          <w:szCs w:val="32"/>
          <w:lang w:val="en-US" w:eastAsia="zh-CN"/>
        </w:rPr>
        <w:t>5—</w:t>
      </w:r>
      <w:r>
        <w:rPr>
          <w:rFonts w:hint="default" w:ascii="仿宋_GB2312" w:hAnsi="仿宋_GB2312" w:eastAsia="仿宋_GB2312" w:cs="仿宋_GB2312"/>
          <w:b w:val="0"/>
          <w:bCs w:val="0"/>
          <w:color w:val="auto"/>
          <w:spacing w:val="8"/>
          <w:sz w:val="32"/>
          <w:szCs w:val="32"/>
          <w:lang w:val="en-US" w:eastAsia="zh-CN"/>
        </w:rPr>
        <w:t>20</w:t>
      </w:r>
      <w:r>
        <w:rPr>
          <w:rFonts w:hint="eastAsia" w:ascii="仿宋_GB2312" w:hAnsi="仿宋_GB2312" w:eastAsia="仿宋_GB2312" w:cs="仿宋_GB2312"/>
          <w:b w:val="0"/>
          <w:bCs w:val="0"/>
          <w:color w:val="auto"/>
          <w:spacing w:val="8"/>
          <w:sz w:val="32"/>
          <w:szCs w:val="32"/>
          <w:lang w:val="en-US" w:eastAsia="zh-CN"/>
        </w:rPr>
        <w:t>30</w:t>
      </w:r>
      <w:r>
        <w:rPr>
          <w:rFonts w:hint="default" w:ascii="仿宋_GB2312" w:hAnsi="仿宋_GB2312" w:eastAsia="仿宋_GB2312" w:cs="仿宋_GB2312"/>
          <w:b w:val="0"/>
          <w:bCs w:val="0"/>
          <w:color w:val="auto"/>
          <w:spacing w:val="8"/>
          <w:sz w:val="32"/>
          <w:szCs w:val="32"/>
          <w:lang w:val="en-US" w:eastAsia="zh-CN"/>
        </w:rPr>
        <w:t>年；远期：20</w:t>
      </w:r>
      <w:r>
        <w:rPr>
          <w:rFonts w:hint="eastAsia" w:ascii="仿宋_GB2312" w:hAnsi="仿宋_GB2312" w:eastAsia="仿宋_GB2312" w:cs="仿宋_GB2312"/>
          <w:b w:val="0"/>
          <w:bCs w:val="0"/>
          <w:color w:val="auto"/>
          <w:spacing w:val="8"/>
          <w:sz w:val="32"/>
          <w:szCs w:val="32"/>
          <w:lang w:val="en-US" w:eastAsia="zh-CN"/>
        </w:rPr>
        <w:t>31—</w:t>
      </w:r>
      <w:r>
        <w:rPr>
          <w:rFonts w:hint="default" w:ascii="仿宋_GB2312" w:hAnsi="仿宋_GB2312" w:eastAsia="仿宋_GB2312" w:cs="仿宋_GB2312"/>
          <w:b w:val="0"/>
          <w:bCs w:val="0"/>
          <w:color w:val="auto"/>
          <w:spacing w:val="8"/>
          <w:sz w:val="32"/>
          <w:szCs w:val="32"/>
          <w:lang w:val="en-US" w:eastAsia="zh-CN"/>
        </w:rPr>
        <w:t>2035年。</w:t>
      </w:r>
    </w:p>
    <w:p w14:paraId="5AF0C030">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40" w:firstLineChars="200"/>
        <w:textAlignment w:val="baseline"/>
        <w:rPr>
          <w:rFonts w:hint="eastAsia" w:ascii="仿宋_GB2312" w:hAnsi="仿宋_GB2312" w:eastAsia="仿宋_GB2312" w:cs="仿宋_GB2312"/>
          <w:color w:val="auto"/>
          <w:sz w:val="32"/>
          <w:szCs w:val="32"/>
        </w:rPr>
        <w:sectPr>
          <w:headerReference r:id="rId6" w:type="default"/>
          <w:footerReference r:id="rId7" w:type="default"/>
          <w:pgSz w:w="23811" w:h="16838" w:orient="landscape"/>
          <w:pgMar w:top="1800" w:right="1440" w:bottom="1800" w:left="1440" w:header="851" w:footer="992" w:gutter="0"/>
          <w:pgNumType w:fmt="numberInDash" w:start="1"/>
          <w:cols w:space="2106" w:num="2"/>
          <w:docGrid w:type="lines" w:linePitch="312" w:charSpace="0"/>
        </w:sectPr>
      </w:pPr>
    </w:p>
    <w:p w14:paraId="457E50E4">
      <w:pPr>
        <w:keepNext w:val="0"/>
        <w:keepLines w:val="0"/>
        <w:pageBreakBefore w:val="0"/>
        <w:widowControl w:val="0"/>
        <w:kinsoku/>
        <w:wordWrap/>
        <w:overflowPunct/>
        <w:topLinePunct w:val="0"/>
        <w:autoSpaceDE w:val="0"/>
        <w:autoSpaceDN w:val="0"/>
        <w:bidi w:val="0"/>
        <w:adjustRightInd w:val="0"/>
        <w:snapToGrid w:val="0"/>
        <w:spacing w:after="313" w:afterLines="100" w:line="560" w:lineRule="exact"/>
        <w:ind w:right="0"/>
        <w:jc w:val="center"/>
        <w:textAlignment w:val="baseline"/>
        <w:outlineLvl w:val="0"/>
        <w:rPr>
          <w:rFonts w:hint="eastAsia" w:ascii="黑体" w:hAnsi="黑体" w:eastAsia="黑体" w:cs="黑体"/>
          <w:color w:val="auto"/>
          <w:spacing w:val="7"/>
          <w:sz w:val="44"/>
          <w:szCs w:val="44"/>
          <w:lang w:eastAsia="zh-CN"/>
        </w:rPr>
      </w:pPr>
      <w:bookmarkStart w:id="78" w:name="_Toc26619"/>
      <w:bookmarkStart w:id="79" w:name="_Toc2940"/>
      <w:bookmarkStart w:id="80" w:name="_Toc29968"/>
      <w:bookmarkStart w:id="81" w:name="_Toc16254"/>
      <w:r>
        <w:rPr>
          <w:rFonts w:hint="eastAsia" w:ascii="黑体" w:hAnsi="黑体" w:eastAsia="黑体" w:cs="黑体"/>
          <w:color w:val="auto"/>
          <w:spacing w:val="7"/>
          <w:sz w:val="44"/>
          <w:szCs w:val="44"/>
          <w:lang w:val="en-US" w:eastAsia="zh-CN"/>
        </w:rPr>
        <w:t>第二章 现状分析与规模预测</w:t>
      </w:r>
      <w:bookmarkEnd w:id="78"/>
      <w:bookmarkEnd w:id="79"/>
      <w:bookmarkEnd w:id="80"/>
      <w:bookmarkEnd w:id="81"/>
    </w:p>
    <w:p w14:paraId="41CFF855">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28" w:firstLineChars="200"/>
        <w:textAlignment w:val="baseline"/>
        <w:outlineLvl w:val="0"/>
        <w:rPr>
          <w:rFonts w:hint="eastAsia" w:ascii="黑体" w:hAnsi="黑体" w:eastAsia="黑体" w:cs="黑体"/>
          <w:b w:val="0"/>
          <w:bCs w:val="0"/>
          <w:color w:val="auto"/>
          <w:spacing w:val="2"/>
          <w:sz w:val="31"/>
          <w:szCs w:val="31"/>
          <w:lang w:val="en-US" w:eastAsia="zh-CN"/>
        </w:rPr>
      </w:pPr>
      <w:bookmarkStart w:id="82" w:name="_Toc28336"/>
      <w:bookmarkStart w:id="83" w:name="_Toc18338"/>
      <w:bookmarkStart w:id="84" w:name="_Toc21069"/>
      <w:bookmarkStart w:id="85" w:name="_Toc8956"/>
      <w:r>
        <w:rPr>
          <w:rFonts w:hint="eastAsia" w:ascii="黑体" w:hAnsi="黑体" w:eastAsia="黑体" w:cs="黑体"/>
          <w:b w:val="0"/>
          <w:bCs w:val="0"/>
          <w:color w:val="auto"/>
          <w:spacing w:val="2"/>
          <w:sz w:val="31"/>
          <w:szCs w:val="31"/>
          <w:lang w:val="en-US" w:eastAsia="zh-CN"/>
        </w:rPr>
        <w:t>一、现状分析​</w:t>
      </w:r>
      <w:bookmarkEnd w:id="82"/>
      <w:bookmarkEnd w:id="83"/>
      <w:bookmarkEnd w:id="84"/>
      <w:bookmarkEnd w:id="85"/>
    </w:p>
    <w:p w14:paraId="565CD4D2">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仿宋_GB2312" w:hAnsi="仿宋_GB2312" w:eastAsia="仿宋_GB2312" w:cs="仿宋_GB2312"/>
          <w:b w:val="0"/>
          <w:bCs w:val="0"/>
          <w:color w:val="auto"/>
          <w:spacing w:val="8"/>
          <w:sz w:val="32"/>
          <w:szCs w:val="32"/>
          <w:lang w:val="en-US" w:eastAsia="zh-CN"/>
        </w:rPr>
      </w:pPr>
      <w:bookmarkStart w:id="86" w:name="_Toc18996"/>
      <w:bookmarkStart w:id="87" w:name="_Toc17601"/>
      <w:bookmarkStart w:id="88" w:name="_Toc20931"/>
      <w:bookmarkStart w:id="89" w:name="_Toc781"/>
      <w:r>
        <w:rPr>
          <w:rFonts w:hint="eastAsia" w:ascii="楷体_GB2312" w:hAnsi="楷体_GB2312" w:eastAsia="楷体_GB2312" w:cs="楷体_GB2312"/>
          <w:b/>
          <w:bCs/>
          <w:color w:val="auto"/>
          <w:spacing w:val="8"/>
          <w:sz w:val="32"/>
          <w:szCs w:val="32"/>
          <w:lang w:eastAsia="zh-CN"/>
        </w:rPr>
        <w:t>（</w:t>
      </w:r>
      <w:r>
        <w:rPr>
          <w:rFonts w:hint="eastAsia" w:ascii="楷体_GB2312" w:hAnsi="楷体_GB2312" w:eastAsia="楷体_GB2312" w:cs="楷体_GB2312"/>
          <w:b/>
          <w:bCs/>
          <w:color w:val="auto"/>
          <w:spacing w:val="8"/>
          <w:sz w:val="32"/>
          <w:szCs w:val="32"/>
          <w:lang w:val="en-US" w:eastAsia="zh-CN"/>
        </w:rPr>
        <w:t>一）产生现状</w:t>
      </w:r>
      <w:r>
        <w:rPr>
          <w:rFonts w:hint="eastAsia" w:ascii="仿宋_GB2312" w:hAnsi="仿宋_GB2312" w:eastAsia="仿宋_GB2312" w:cs="仿宋_GB2312"/>
          <w:b w:val="0"/>
          <w:bCs w:val="0"/>
          <w:color w:val="auto"/>
          <w:spacing w:val="8"/>
          <w:sz w:val="32"/>
          <w:szCs w:val="32"/>
          <w:lang w:val="en-US" w:eastAsia="zh-CN"/>
        </w:rPr>
        <w:t>​</w:t>
      </w:r>
      <w:bookmarkEnd w:id="86"/>
      <w:bookmarkEnd w:id="87"/>
      <w:bookmarkEnd w:id="88"/>
      <w:bookmarkEnd w:id="89"/>
    </w:p>
    <w:p w14:paraId="2F42FF04">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2" w:firstLineChars="200"/>
        <w:textAlignment w:val="baseline"/>
        <w:rPr>
          <w:rFonts w:hint="eastAsia" w:ascii="仿宋_GB2312" w:hAnsi="仿宋_GB2312" w:eastAsia="仿宋_GB2312" w:cs="仿宋_GB2312"/>
          <w:color w:val="auto"/>
          <w:spacing w:val="8"/>
          <w:sz w:val="32"/>
          <w:szCs w:val="32"/>
          <w:lang w:eastAsia="zh-CN"/>
        </w:rPr>
      </w:pPr>
      <w:r>
        <w:rPr>
          <w:rFonts w:hint="eastAsia" w:ascii="仿宋_GB2312" w:hAnsi="仿宋_GB2312" w:eastAsia="仿宋_GB2312" w:cs="仿宋_GB2312"/>
          <w:b w:val="0"/>
          <w:bCs w:val="0"/>
          <w:color w:val="auto"/>
          <w:spacing w:val="8"/>
          <w:sz w:val="32"/>
          <w:szCs w:val="32"/>
          <w:lang w:val="en-US" w:eastAsia="zh-CN"/>
        </w:rPr>
        <w:t>近年来，甘州区依托新型城镇化建设，城市更新、房地产开发、市政基础设施建设等项目持续推进，</w:t>
      </w:r>
      <w:r>
        <w:rPr>
          <w:rFonts w:hint="eastAsia" w:ascii="仿宋_GB2312" w:hAnsi="仿宋_GB2312" w:eastAsia="仿宋_GB2312" w:cs="仿宋_GB2312"/>
          <w:color w:val="auto"/>
          <w:spacing w:val="8"/>
          <w:sz w:val="32"/>
          <w:szCs w:val="32"/>
          <w:lang w:eastAsia="zh-CN"/>
        </w:rPr>
        <w:t>建筑垃圾的产生已成为区域环境治理与城市管理的重点议题。</w:t>
      </w:r>
    </w:p>
    <w:p w14:paraId="190A62EB">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2" w:firstLineChars="200"/>
        <w:textAlignment w:val="baseline"/>
        <w:rPr>
          <w:rFonts w:hint="eastAsia" w:ascii="仿宋_GB2312" w:hAnsi="仿宋_GB2312" w:eastAsia="仿宋_GB2312" w:cs="仿宋_GB2312"/>
          <w:color w:val="auto"/>
          <w:spacing w:val="8"/>
          <w:sz w:val="32"/>
          <w:szCs w:val="32"/>
          <w:lang w:eastAsia="zh-CN"/>
        </w:rPr>
      </w:pPr>
      <w:r>
        <w:rPr>
          <w:rFonts w:hint="eastAsia" w:ascii="仿宋_GB2312" w:hAnsi="仿宋_GB2312" w:eastAsia="仿宋_GB2312" w:cs="仿宋_GB2312"/>
          <w:color w:val="auto"/>
          <w:spacing w:val="8"/>
          <w:sz w:val="32"/>
          <w:szCs w:val="32"/>
          <w:lang w:eastAsia="zh-CN"/>
        </w:rPr>
        <w:t>从产废源头来看，城市建成区是建筑垃圾的主要产出区域：旧城改造工程中，既有建筑拆除与新建同步推进，在改造区域，废弃混凝土、砖石类建筑垃圾呈现集中式产出特征，部分拆除项目曾因清运不及时出现临时堆积问题；市政基础设施建设领域，227线出城口改造、地下管网更新等工程持续开展，道路挖掘、工程建设过程中产生大量工程渣土，仅梁家墩镇227线出城口改造项目单次就清运历史遗留建筑垃圾500余吨。此外，房地产开发项目也产生了一定量的建筑废料，进一步加剧了处置压力。</w:t>
      </w:r>
    </w:p>
    <w:p w14:paraId="476C1056">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2" w:firstLineChars="200"/>
        <w:textAlignment w:val="baseline"/>
        <w:rPr>
          <w:rFonts w:hint="eastAsia"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color w:val="auto"/>
          <w:spacing w:val="8"/>
          <w:sz w:val="32"/>
          <w:szCs w:val="32"/>
          <w:lang w:eastAsia="zh-CN"/>
        </w:rPr>
        <w:t>当前，甘州区建筑垃圾以工程渣土、废弃混凝土、砖石类为主要类型，且产出具有明显的阶段性、区域性特征。随着城乡融合发展与全域旅游品质提升工程的推进，建筑垃圾“及时清运、规范处置”的需求日益迫切，对治理工作的精细化、高效化提出了更高要求。</w:t>
      </w:r>
    </w:p>
    <w:p w14:paraId="0F813718">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仿宋_GB2312" w:hAnsi="仿宋_GB2312" w:eastAsia="仿宋_GB2312" w:cs="仿宋_GB2312"/>
          <w:b w:val="0"/>
          <w:bCs w:val="0"/>
          <w:color w:val="auto"/>
          <w:spacing w:val="8"/>
          <w:sz w:val="32"/>
          <w:szCs w:val="32"/>
          <w:lang w:val="en-US" w:eastAsia="zh-CN"/>
        </w:rPr>
      </w:pPr>
      <w:bookmarkStart w:id="90" w:name="_Toc8805"/>
      <w:bookmarkStart w:id="91" w:name="_Toc27257"/>
      <w:bookmarkStart w:id="92" w:name="_Toc16710"/>
      <w:bookmarkStart w:id="93" w:name="_Toc14178"/>
      <w:r>
        <w:rPr>
          <w:rFonts w:hint="eastAsia" w:ascii="楷体_GB2312" w:hAnsi="楷体_GB2312" w:eastAsia="楷体_GB2312" w:cs="楷体_GB2312"/>
          <w:b/>
          <w:bCs/>
          <w:color w:val="auto"/>
          <w:spacing w:val="8"/>
          <w:sz w:val="32"/>
          <w:szCs w:val="32"/>
          <w:lang w:eastAsia="zh-CN"/>
        </w:rPr>
        <w:t>（</w:t>
      </w:r>
      <w:r>
        <w:rPr>
          <w:rFonts w:hint="eastAsia" w:ascii="楷体_GB2312" w:hAnsi="楷体_GB2312" w:eastAsia="楷体_GB2312" w:cs="楷体_GB2312"/>
          <w:b/>
          <w:bCs/>
          <w:color w:val="auto"/>
          <w:spacing w:val="8"/>
          <w:sz w:val="32"/>
          <w:szCs w:val="32"/>
          <w:lang w:val="en-US" w:eastAsia="zh-CN"/>
        </w:rPr>
        <w:t>二）处理设施现状</w:t>
      </w:r>
      <w:r>
        <w:rPr>
          <w:rFonts w:hint="eastAsia" w:ascii="仿宋_GB2312" w:hAnsi="仿宋_GB2312" w:eastAsia="仿宋_GB2312" w:cs="仿宋_GB2312"/>
          <w:b w:val="0"/>
          <w:bCs w:val="0"/>
          <w:color w:val="auto"/>
          <w:spacing w:val="8"/>
          <w:sz w:val="32"/>
          <w:szCs w:val="32"/>
          <w:lang w:val="en-US" w:eastAsia="zh-CN"/>
        </w:rPr>
        <w:t>​</w:t>
      </w:r>
      <w:bookmarkEnd w:id="90"/>
      <w:bookmarkEnd w:id="91"/>
      <w:bookmarkEnd w:id="92"/>
      <w:bookmarkEnd w:id="93"/>
    </w:p>
    <w:p w14:paraId="4B9A5F41">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5" w:firstLineChars="200"/>
        <w:textAlignment w:val="baseline"/>
        <w:rPr>
          <w:rFonts w:hint="eastAsia" w:ascii="仿宋_GB2312" w:hAnsi="仿宋_GB2312" w:eastAsia="仿宋_GB2312" w:cs="仿宋_GB2312"/>
          <w:b/>
          <w:bCs/>
          <w:color w:val="auto"/>
          <w:spacing w:val="8"/>
          <w:sz w:val="32"/>
          <w:szCs w:val="32"/>
          <w:lang w:val="en-US" w:eastAsia="zh-CN"/>
        </w:rPr>
      </w:pPr>
      <w:r>
        <w:rPr>
          <w:rFonts w:hint="eastAsia" w:ascii="仿宋_GB2312" w:hAnsi="仿宋_GB2312" w:eastAsia="仿宋_GB2312" w:cs="仿宋_GB2312"/>
          <w:b/>
          <w:bCs/>
          <w:color w:val="auto"/>
          <w:spacing w:val="8"/>
          <w:sz w:val="32"/>
          <w:szCs w:val="32"/>
          <w:lang w:val="en-US" w:eastAsia="zh-CN"/>
        </w:rPr>
        <w:t>1.资源化利用设施</w:t>
      </w:r>
      <w:r>
        <w:rPr>
          <w:rFonts w:hint="eastAsia" w:ascii="仿宋_GB2312" w:hAnsi="仿宋_GB2312" w:eastAsia="仿宋_GB2312" w:cs="仿宋_GB2312"/>
          <w:b w:val="0"/>
          <w:bCs w:val="0"/>
          <w:color w:val="auto"/>
          <w:spacing w:val="8"/>
          <w:sz w:val="32"/>
          <w:szCs w:val="32"/>
          <w:lang w:val="en-US" w:eastAsia="zh-CN"/>
        </w:rPr>
        <w:t>：截至2024年底，甘州区范围内（含市级统筹布局）暂未建成建筑垃圾资源化利用厂，城市建成区产生的废弃混凝土、砖石等可资源化建筑垃圾，需依托周边县区资源化利用设施处置，或通过临时破碎加工用于简易路基填充等低端场景，资源化利用能力存在空白，难以满足建筑垃圾减量化、资源化治理要求。</w:t>
      </w:r>
    </w:p>
    <w:p w14:paraId="15597DF6">
      <w:pPr>
        <w:keepNext w:val="0"/>
        <w:keepLines w:val="0"/>
        <w:pageBreakBefore w:val="0"/>
        <w:wordWrap/>
        <w:overflowPunct/>
        <w:topLinePunct w:val="0"/>
        <w:autoSpaceDE w:val="0"/>
        <w:autoSpaceDN w:val="0"/>
        <w:bidi w:val="0"/>
        <w:adjustRightInd w:val="0"/>
        <w:snapToGrid w:val="0"/>
        <w:spacing w:line="560" w:lineRule="exact"/>
        <w:ind w:left="0" w:right="0" w:firstLine="675" w:firstLineChars="200"/>
        <w:jc w:val="both"/>
        <w:textAlignment w:val="baseline"/>
        <w:rPr>
          <w:rFonts w:hint="eastAsia"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bCs/>
          <w:color w:val="auto"/>
          <w:spacing w:val="8"/>
          <w:sz w:val="32"/>
          <w:szCs w:val="32"/>
          <w:lang w:val="en-US" w:eastAsia="zh-CN"/>
        </w:rPr>
        <w:t>2.消纳处置设施</w:t>
      </w:r>
      <w:r>
        <w:rPr>
          <w:rFonts w:hint="eastAsia" w:ascii="仿宋_GB2312" w:hAnsi="仿宋_GB2312" w:eastAsia="仿宋_GB2312" w:cs="仿宋_GB2312"/>
          <w:b w:val="0"/>
          <w:bCs w:val="0"/>
          <w:color w:val="auto"/>
          <w:spacing w:val="8"/>
          <w:sz w:val="32"/>
          <w:szCs w:val="32"/>
          <w:lang w:val="en-US" w:eastAsia="zh-CN"/>
        </w:rPr>
        <w:t>：现共有3处建筑垃圾堆倒场，但2处已封场，现仅1处运行，位于张掖市经开区循环经济园区，距离城区约13公里，距离最近的居民点约2.5公里。</w:t>
      </w:r>
      <w:r>
        <w:rPr>
          <w:rFonts w:hint="eastAsia" w:ascii="仿宋_GB2312" w:hAnsi="仿宋_GB2312" w:eastAsia="仿宋_GB2312" w:cs="仿宋_GB2312"/>
          <w:color w:val="auto"/>
          <w:spacing w:val="8"/>
          <w:sz w:val="32"/>
          <w:szCs w:val="32"/>
          <w:lang w:eastAsia="zh-CN"/>
        </w:rPr>
        <w:t>消纳场容量有限，且在长期使用过程中，已逐渐显现分区规划不清晰、防渗设施老化、扬尘防控措施覆盖不足等问题，若未及时优化升级，后续可能面临消纳能力饱和、环境污染风险加剧的挑战。</w:t>
      </w:r>
    </w:p>
    <w:p w14:paraId="13CC8BAE">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仿宋_GB2312" w:hAnsi="仿宋_GB2312" w:eastAsia="仿宋_GB2312" w:cs="仿宋_GB2312"/>
          <w:b w:val="0"/>
          <w:bCs w:val="0"/>
          <w:color w:val="auto"/>
          <w:spacing w:val="8"/>
          <w:sz w:val="32"/>
          <w:szCs w:val="32"/>
          <w:lang w:val="en-US" w:eastAsia="zh-CN"/>
        </w:rPr>
      </w:pPr>
      <w:bookmarkStart w:id="94" w:name="_Toc22223"/>
      <w:bookmarkStart w:id="95" w:name="_Toc25966"/>
      <w:bookmarkStart w:id="96" w:name="_Toc26525"/>
      <w:bookmarkStart w:id="97" w:name="_Toc25754"/>
      <w:r>
        <w:rPr>
          <w:rFonts w:hint="eastAsia" w:ascii="楷体_GB2312" w:hAnsi="楷体_GB2312" w:eastAsia="楷体_GB2312" w:cs="楷体_GB2312"/>
          <w:b/>
          <w:bCs/>
          <w:color w:val="auto"/>
          <w:spacing w:val="8"/>
          <w:sz w:val="32"/>
          <w:szCs w:val="32"/>
          <w:lang w:eastAsia="zh-CN"/>
        </w:rPr>
        <w:t>（</w:t>
      </w:r>
      <w:r>
        <w:rPr>
          <w:rFonts w:hint="eastAsia" w:ascii="楷体_GB2312" w:hAnsi="楷体_GB2312" w:eastAsia="楷体_GB2312" w:cs="楷体_GB2312"/>
          <w:b/>
          <w:bCs/>
          <w:color w:val="auto"/>
          <w:spacing w:val="8"/>
          <w:sz w:val="32"/>
          <w:szCs w:val="32"/>
          <w:lang w:val="en-US" w:eastAsia="zh-CN"/>
        </w:rPr>
        <w:t>三）管理现状</w:t>
      </w:r>
      <w:r>
        <w:rPr>
          <w:rFonts w:hint="eastAsia" w:ascii="仿宋_GB2312" w:hAnsi="仿宋_GB2312" w:eastAsia="仿宋_GB2312" w:cs="仿宋_GB2312"/>
          <w:b w:val="0"/>
          <w:bCs w:val="0"/>
          <w:color w:val="auto"/>
          <w:spacing w:val="8"/>
          <w:sz w:val="32"/>
          <w:szCs w:val="32"/>
          <w:lang w:val="en-US" w:eastAsia="zh-CN"/>
        </w:rPr>
        <w:t>​</w:t>
      </w:r>
      <w:bookmarkEnd w:id="94"/>
      <w:bookmarkEnd w:id="95"/>
      <w:bookmarkEnd w:id="96"/>
      <w:bookmarkEnd w:id="97"/>
    </w:p>
    <w:p w14:paraId="126B9DCC">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5" w:firstLineChars="200"/>
        <w:textAlignment w:val="baseline"/>
        <w:outlineLvl w:val="2"/>
        <w:rPr>
          <w:rFonts w:hint="eastAsia"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bCs/>
          <w:color w:val="auto"/>
          <w:spacing w:val="8"/>
          <w:sz w:val="32"/>
          <w:szCs w:val="32"/>
          <w:lang w:val="en-US" w:eastAsia="zh-CN"/>
        </w:rPr>
        <w:t>1.管理机制</w:t>
      </w:r>
    </w:p>
    <w:p w14:paraId="7EFE3F42">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2" w:firstLineChars="200"/>
        <w:textAlignment w:val="baseline"/>
        <w:rPr>
          <w:rFonts w:hint="eastAsia"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甘州区建立了以城市管理部门为牵头单位，住建、生态环境、交通运输、自然资源等部门协同的建筑垃圾管理工作机制，明确由城市管理部门负责建筑垃圾产生、运输、处置许可及违法行为查处，住建部门负责建筑工地源头减量与分类处置管控，生态环境部门负责污染防治监督，公安部门负责运输车辆道路通行监管。2024年，累计核发建筑垃圾运输许可16份</w:t>
      </w:r>
      <w:r>
        <w:rPr>
          <w:rFonts w:hint="eastAsia" w:ascii="仿宋_GB2312" w:hAnsi="仿宋_GB2312" w:eastAsia="仿宋_GB2312" w:cs="仿宋_GB2312"/>
          <w:color w:val="auto"/>
          <w:spacing w:val="8"/>
          <w:sz w:val="32"/>
          <w:szCs w:val="32"/>
          <w:lang w:eastAsia="zh-CN"/>
        </w:rPr>
        <w:t>。</w:t>
      </w:r>
      <w:r>
        <w:rPr>
          <w:rFonts w:hint="eastAsia" w:ascii="仿宋_GB2312" w:hAnsi="仿宋_GB2312" w:eastAsia="仿宋_GB2312" w:cs="仿宋_GB2312"/>
          <w:b w:val="0"/>
          <w:bCs w:val="0"/>
          <w:color w:val="auto"/>
          <w:spacing w:val="8"/>
          <w:sz w:val="32"/>
          <w:szCs w:val="32"/>
          <w:lang w:val="en-US" w:eastAsia="zh-CN"/>
        </w:rPr>
        <w:t>​</w:t>
      </w:r>
    </w:p>
    <w:p w14:paraId="68089953">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5" w:firstLineChars="200"/>
        <w:textAlignment w:val="baseline"/>
        <w:outlineLvl w:val="2"/>
        <w:rPr>
          <w:rFonts w:hint="eastAsia" w:ascii="仿宋_GB2312" w:hAnsi="仿宋_GB2312" w:eastAsia="仿宋_GB2312" w:cs="仿宋_GB2312"/>
          <w:b/>
          <w:bCs/>
          <w:color w:val="auto"/>
          <w:spacing w:val="8"/>
          <w:sz w:val="32"/>
          <w:szCs w:val="32"/>
          <w:lang w:val="en-US" w:eastAsia="zh-CN"/>
        </w:rPr>
      </w:pPr>
      <w:r>
        <w:rPr>
          <w:rFonts w:hint="eastAsia" w:ascii="仿宋_GB2312" w:hAnsi="仿宋_GB2312" w:eastAsia="仿宋_GB2312" w:cs="仿宋_GB2312"/>
          <w:b/>
          <w:bCs/>
          <w:color w:val="auto"/>
          <w:spacing w:val="8"/>
          <w:sz w:val="32"/>
          <w:szCs w:val="32"/>
          <w:lang w:val="en-US" w:eastAsia="zh-CN"/>
        </w:rPr>
        <w:t>2.信息化建设</w:t>
      </w:r>
    </w:p>
    <w:p w14:paraId="6428C6A0">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2" w:firstLineChars="200"/>
        <w:jc w:val="both"/>
        <w:textAlignment w:val="baseline"/>
        <w:rPr>
          <w:rFonts w:hint="eastAsia" w:ascii="仿宋_GB2312" w:hAnsi="仿宋_GB2312" w:eastAsia="仿宋_GB2312" w:cs="仿宋_GB2312"/>
          <w:color w:val="auto"/>
          <w:spacing w:val="8"/>
          <w:sz w:val="32"/>
          <w:szCs w:val="32"/>
          <w:lang w:eastAsia="zh-CN"/>
        </w:rPr>
      </w:pPr>
      <w:r>
        <w:rPr>
          <w:rFonts w:hint="eastAsia" w:ascii="仿宋_GB2312" w:hAnsi="仿宋_GB2312" w:eastAsia="仿宋_GB2312" w:cs="仿宋_GB2312"/>
          <w:color w:val="auto"/>
          <w:spacing w:val="8"/>
          <w:sz w:val="32"/>
          <w:szCs w:val="32"/>
          <w:lang w:eastAsia="zh-CN"/>
        </w:rPr>
        <w:t>甘州区建筑垃圾信息化管理处于实践探索阶段，核心依托“智慧城管”平台构建监管体系，已接入50路监控球机、1架无人机及100部手持执法终端，形成多维度监测网络，可对城区建筑垃圾堆放点、施工工地等关键区域实施全天候监控；在运输监管方面，已核准6家建筑垃圾运输企业所属的190辆运输车辆均安装GPS定位及视频监控系统，实现建筑垃圾排放、运输、消纳全流程动态追踪。</w:t>
      </w:r>
    </w:p>
    <w:p w14:paraId="4C3FC58D">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28" w:firstLineChars="200"/>
        <w:textAlignment w:val="baseline"/>
        <w:outlineLvl w:val="0"/>
        <w:rPr>
          <w:rFonts w:hint="default" w:ascii="黑体" w:hAnsi="黑体" w:eastAsia="黑体" w:cs="黑体"/>
          <w:b w:val="0"/>
          <w:bCs w:val="0"/>
          <w:color w:val="auto"/>
          <w:spacing w:val="2"/>
          <w:sz w:val="31"/>
          <w:szCs w:val="31"/>
          <w:lang w:val="en-US" w:eastAsia="zh-CN"/>
        </w:rPr>
      </w:pPr>
      <w:bookmarkStart w:id="98" w:name="_Toc13481"/>
      <w:bookmarkStart w:id="99" w:name="_Toc23711"/>
      <w:bookmarkStart w:id="100" w:name="_Toc15789"/>
      <w:bookmarkStart w:id="101" w:name="_Toc9004"/>
      <w:r>
        <w:rPr>
          <w:rFonts w:hint="eastAsia" w:ascii="黑体" w:hAnsi="黑体" w:eastAsia="黑体" w:cs="黑体"/>
          <w:b w:val="0"/>
          <w:bCs w:val="0"/>
          <w:color w:val="auto"/>
          <w:spacing w:val="2"/>
          <w:sz w:val="31"/>
          <w:szCs w:val="31"/>
          <w:lang w:val="en-US" w:eastAsia="zh-CN"/>
        </w:rPr>
        <w:t>二、现状综合分析</w:t>
      </w:r>
      <w:bookmarkEnd w:id="98"/>
      <w:bookmarkEnd w:id="99"/>
      <w:bookmarkEnd w:id="100"/>
      <w:bookmarkEnd w:id="101"/>
    </w:p>
    <w:p w14:paraId="2C2A5A54">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102" w:name="_Toc24478"/>
      <w:bookmarkStart w:id="103" w:name="_Toc28985"/>
      <w:bookmarkStart w:id="104" w:name="_Toc9227"/>
      <w:bookmarkStart w:id="105" w:name="_Toc26585"/>
      <w:r>
        <w:rPr>
          <w:rFonts w:hint="eastAsia" w:ascii="楷体_GB2312" w:hAnsi="楷体_GB2312" w:eastAsia="楷体_GB2312" w:cs="楷体_GB2312"/>
          <w:b/>
          <w:bCs/>
          <w:color w:val="auto"/>
          <w:spacing w:val="8"/>
          <w:sz w:val="32"/>
          <w:szCs w:val="32"/>
          <w:lang w:val="en-US" w:eastAsia="zh-CN"/>
        </w:rPr>
        <w:t>（一）治理基础与优势</w:t>
      </w:r>
      <w:bookmarkEnd w:id="102"/>
      <w:bookmarkEnd w:id="103"/>
      <w:bookmarkEnd w:id="104"/>
      <w:bookmarkEnd w:id="105"/>
    </w:p>
    <w:p w14:paraId="09A212E8">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5" w:firstLineChars="200"/>
        <w:textAlignment w:val="baseline"/>
        <w:rPr>
          <w:rFonts w:hint="eastAsia"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bCs/>
          <w:color w:val="auto"/>
          <w:spacing w:val="8"/>
          <w:sz w:val="32"/>
          <w:szCs w:val="32"/>
          <w:lang w:val="en-US" w:eastAsia="zh-CN"/>
        </w:rPr>
        <w:t>1.管理体系初步成型</w:t>
      </w:r>
      <w:r>
        <w:rPr>
          <w:rFonts w:hint="eastAsia" w:ascii="仿宋_GB2312" w:hAnsi="仿宋_GB2312" w:eastAsia="仿宋_GB2312" w:cs="仿宋_GB2312"/>
          <w:b w:val="0"/>
          <w:bCs w:val="0"/>
          <w:color w:val="auto"/>
          <w:spacing w:val="8"/>
          <w:sz w:val="32"/>
          <w:szCs w:val="32"/>
          <w:lang w:val="en-US" w:eastAsia="zh-CN"/>
        </w:rPr>
        <w:t>：构建“城管牵头、多部门协同”机制，明确城管（产生、运输、处置许可、违法查处）、住建（源头管控）、生态环境（污染监督）、公安（车辆监管）职责。</w:t>
      </w:r>
    </w:p>
    <w:p w14:paraId="31B56AC5">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5" w:firstLineChars="200"/>
        <w:textAlignment w:val="baseline"/>
        <w:rPr>
          <w:rFonts w:hint="eastAsia"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bCs/>
          <w:color w:val="auto"/>
          <w:spacing w:val="8"/>
          <w:sz w:val="32"/>
          <w:szCs w:val="32"/>
          <w:lang w:val="en-US" w:eastAsia="zh-CN"/>
        </w:rPr>
        <w:t>2.重点环节有管控抓手</w:t>
      </w:r>
      <w:r>
        <w:rPr>
          <w:rFonts w:hint="eastAsia" w:ascii="仿宋_GB2312" w:hAnsi="仿宋_GB2312" w:eastAsia="仿宋_GB2312" w:cs="仿宋_GB2312"/>
          <w:b w:val="0"/>
          <w:bCs w:val="0"/>
          <w:color w:val="auto"/>
          <w:spacing w:val="8"/>
          <w:sz w:val="32"/>
          <w:szCs w:val="32"/>
          <w:lang w:val="en-US" w:eastAsia="zh-CN"/>
        </w:rPr>
        <w:t>：聚焦城市建成区旧城改造、市政建设等重点产废场景，识别工程渣土、废弃混凝土等主要垃圾类型；通过人工巡查、许可管理，初步把控运输合规性，为主动防控积累经验。​</w:t>
      </w:r>
    </w:p>
    <w:p w14:paraId="030A8353">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106" w:name="_Toc9856"/>
      <w:bookmarkStart w:id="107" w:name="_Toc11353"/>
      <w:bookmarkStart w:id="108" w:name="_Toc7869"/>
      <w:bookmarkStart w:id="109" w:name="_Toc14185"/>
      <w:r>
        <w:rPr>
          <w:rFonts w:hint="eastAsia" w:ascii="楷体_GB2312" w:hAnsi="楷体_GB2312" w:eastAsia="楷体_GB2312" w:cs="楷体_GB2312"/>
          <w:b/>
          <w:bCs/>
          <w:color w:val="auto"/>
          <w:spacing w:val="8"/>
          <w:sz w:val="32"/>
          <w:szCs w:val="32"/>
          <w:lang w:val="en-US" w:eastAsia="zh-CN"/>
        </w:rPr>
        <w:t>（二）突出短板与问题​</w:t>
      </w:r>
      <w:bookmarkEnd w:id="106"/>
      <w:bookmarkEnd w:id="107"/>
      <w:bookmarkEnd w:id="108"/>
      <w:bookmarkEnd w:id="109"/>
    </w:p>
    <w:p w14:paraId="4F2C624F">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5" w:firstLineChars="200"/>
        <w:textAlignment w:val="baseline"/>
        <w:rPr>
          <w:rFonts w:hint="eastAsia"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bCs/>
          <w:color w:val="auto"/>
          <w:spacing w:val="8"/>
          <w:sz w:val="32"/>
          <w:szCs w:val="32"/>
          <w:lang w:val="en-US" w:eastAsia="zh-CN"/>
        </w:rPr>
        <w:t>1.处置能力失衡</w:t>
      </w:r>
      <w:r>
        <w:rPr>
          <w:rFonts w:hint="eastAsia" w:ascii="仿宋_GB2312" w:hAnsi="仿宋_GB2312" w:eastAsia="仿宋_GB2312" w:cs="仿宋_GB2312"/>
          <w:b w:val="0"/>
          <w:bCs w:val="0"/>
          <w:color w:val="auto"/>
          <w:spacing w:val="8"/>
          <w:sz w:val="32"/>
          <w:szCs w:val="32"/>
          <w:lang w:val="en-US" w:eastAsia="zh-CN"/>
        </w:rPr>
        <w:t>：资源化利用能力空白，可资源化垃圾需跨区域处置或低端利用；3处堆倒场设计容量已用75%，剩余容量仅够1～2年，且存在分区、防渗、扬尘防控问题，污染风险突出。</w:t>
      </w:r>
    </w:p>
    <w:p w14:paraId="22015506">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5" w:firstLineChars="200"/>
        <w:textAlignment w:val="baseline"/>
        <w:rPr>
          <w:rFonts w:hint="eastAsia"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bCs/>
          <w:color w:val="auto"/>
          <w:spacing w:val="8"/>
          <w:sz w:val="32"/>
          <w:szCs w:val="32"/>
          <w:lang w:val="en-US" w:eastAsia="zh-CN"/>
        </w:rPr>
        <w:t>2.管理效能不足</w:t>
      </w:r>
      <w:r>
        <w:rPr>
          <w:rFonts w:hint="eastAsia" w:ascii="仿宋_GB2312" w:hAnsi="仿宋_GB2312" w:eastAsia="仿宋_GB2312" w:cs="仿宋_GB2312"/>
          <w:b w:val="0"/>
          <w:bCs w:val="0"/>
          <w:color w:val="auto"/>
          <w:spacing w:val="8"/>
          <w:sz w:val="32"/>
          <w:szCs w:val="32"/>
          <w:lang w:val="en-US" w:eastAsia="zh-CN"/>
        </w:rPr>
        <w:t>：建筑垃圾管理涉及住建（源头管控）、生态环境（环保监管）、公安（车辆监管）、乡镇（属地管理）等多部门，但常态化协同机制作用发挥不明显，存在“多头管、管不好”现象。涉及多主体、多部门，缺乏市场激励与跨部门数据共享、联合执法机制，治理合力不足。​</w:t>
      </w:r>
    </w:p>
    <w:p w14:paraId="37F8D3BF">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5" w:firstLineChars="200"/>
        <w:textAlignment w:val="baseline"/>
        <w:rPr>
          <w:rFonts w:hint="eastAsia"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bCs/>
          <w:color w:val="auto"/>
          <w:spacing w:val="8"/>
          <w:sz w:val="32"/>
          <w:szCs w:val="32"/>
          <w:lang w:val="en-US" w:eastAsia="zh-CN"/>
        </w:rPr>
        <w:t>3.源头管控薄弱</w:t>
      </w:r>
      <w:r>
        <w:rPr>
          <w:rFonts w:hint="eastAsia" w:ascii="仿宋_GB2312" w:hAnsi="仿宋_GB2312" w:eastAsia="仿宋_GB2312" w:cs="仿宋_GB2312"/>
          <w:b w:val="0"/>
          <w:bCs w:val="0"/>
          <w:color w:val="auto"/>
          <w:spacing w:val="8"/>
          <w:sz w:val="32"/>
          <w:szCs w:val="32"/>
          <w:lang w:val="en-US" w:eastAsia="zh-CN"/>
        </w:rPr>
        <w:t>：部分建设单位未将减量化、分类化纳入施工设计，材料浪费突出；住建部门缺乏技术支撑，无法实时监管源头，“前端减量不足、分类不彻底”加剧后端压力。</w:t>
      </w:r>
    </w:p>
    <w:p w14:paraId="63690A50">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110" w:name="_Toc28867"/>
      <w:bookmarkStart w:id="111" w:name="_Toc16721"/>
      <w:bookmarkStart w:id="112" w:name="_Toc6411"/>
      <w:bookmarkStart w:id="113" w:name="_Toc19426"/>
      <w:r>
        <w:rPr>
          <w:rFonts w:hint="eastAsia" w:ascii="楷体_GB2312" w:hAnsi="楷体_GB2312" w:eastAsia="楷体_GB2312" w:cs="楷体_GB2312"/>
          <w:b/>
          <w:bCs/>
          <w:color w:val="auto"/>
          <w:spacing w:val="8"/>
          <w:sz w:val="32"/>
          <w:szCs w:val="32"/>
          <w:lang w:val="en-US" w:eastAsia="zh-CN"/>
        </w:rPr>
        <w:t>（三）面临的挑战​</w:t>
      </w:r>
      <w:bookmarkEnd w:id="110"/>
      <w:bookmarkEnd w:id="111"/>
      <w:bookmarkEnd w:id="112"/>
      <w:bookmarkEnd w:id="113"/>
    </w:p>
    <w:p w14:paraId="5DFF858F">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5" w:firstLineChars="200"/>
        <w:textAlignment w:val="baseline"/>
        <w:rPr>
          <w:rFonts w:hint="eastAsia"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bCs/>
          <w:color w:val="auto"/>
          <w:spacing w:val="8"/>
          <w:sz w:val="32"/>
          <w:szCs w:val="32"/>
          <w:lang w:val="en-US" w:eastAsia="zh-CN"/>
        </w:rPr>
        <w:t>1.供需矛盾加剧</w:t>
      </w:r>
      <w:r>
        <w:rPr>
          <w:rFonts w:hint="eastAsia" w:ascii="仿宋_GB2312" w:hAnsi="仿宋_GB2312" w:eastAsia="仿宋_GB2312" w:cs="仿宋_GB2312"/>
          <w:b w:val="0"/>
          <w:bCs w:val="0"/>
          <w:color w:val="auto"/>
          <w:spacing w:val="8"/>
          <w:sz w:val="32"/>
          <w:szCs w:val="32"/>
          <w:lang w:val="en-US" w:eastAsia="zh-CN"/>
        </w:rPr>
        <w:t>：</w:t>
      </w:r>
      <w:r>
        <w:rPr>
          <w:rFonts w:hint="eastAsia" w:ascii="仿宋_GB2312" w:hAnsi="仿宋_GB2312" w:eastAsia="仿宋_GB2312" w:cs="仿宋_GB2312"/>
          <w:color w:val="auto"/>
          <w:spacing w:val="8"/>
          <w:sz w:val="32"/>
          <w:szCs w:val="32"/>
          <w:lang w:eastAsia="zh-CN"/>
        </w:rPr>
        <w:t>建筑垃圾处置需求与现有保障能力间的匹配度持续收紧，既有消纳场剩余容量逐步逼近饱和，在资源化利用环节尚未形成规模化支撑，导致整体处置能力难以充分覆盖实际需求，处置缺口呈扩大趋势，进而增加了非法倾倒、违规堆放等行为发生的概率。</w:t>
      </w:r>
    </w:p>
    <w:p w14:paraId="11E3B373">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5" w:firstLineChars="200"/>
        <w:textAlignment w:val="baseline"/>
        <w:rPr>
          <w:rFonts w:hint="eastAsia"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bCs/>
          <w:color w:val="auto"/>
          <w:spacing w:val="8"/>
          <w:sz w:val="32"/>
          <w:szCs w:val="32"/>
          <w:lang w:val="en-US" w:eastAsia="zh-CN"/>
        </w:rPr>
        <w:t>2.标准落地配套不足：</w:t>
      </w:r>
      <w:r>
        <w:rPr>
          <w:rFonts w:hint="eastAsia" w:ascii="仿宋_GB2312" w:hAnsi="仿宋_GB2312" w:eastAsia="仿宋_GB2312" w:cs="仿宋_GB2312"/>
          <w:b w:val="0"/>
          <w:bCs w:val="0"/>
          <w:color w:val="auto"/>
          <w:spacing w:val="8"/>
          <w:sz w:val="32"/>
          <w:szCs w:val="32"/>
          <w:lang w:val="en-US" w:eastAsia="zh-CN"/>
        </w:rPr>
        <w:t>消纳场运营虽符合《一般工业固体废物贮存和填埋污染控制标准》，但本地建筑垃圾资源化技术路径仍待探索，缺乏成熟的再生产品生产标准与市场推广机制，再生产品应用场景狭窄。​</w:t>
      </w:r>
    </w:p>
    <w:p w14:paraId="180BECDD">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5" w:firstLineChars="200"/>
        <w:textAlignment w:val="baseline"/>
        <w:rPr>
          <w:rFonts w:hint="eastAsia"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bCs/>
          <w:color w:val="auto"/>
          <w:spacing w:val="8"/>
          <w:sz w:val="32"/>
          <w:szCs w:val="32"/>
          <w:lang w:val="en-US" w:eastAsia="zh-CN"/>
        </w:rPr>
        <w:t>3.协同治理难度大</w:t>
      </w:r>
      <w:r>
        <w:rPr>
          <w:rFonts w:hint="eastAsia" w:ascii="仿宋_GB2312" w:hAnsi="仿宋_GB2312" w:eastAsia="仿宋_GB2312" w:cs="仿宋_GB2312"/>
          <w:b w:val="0"/>
          <w:bCs w:val="0"/>
          <w:color w:val="auto"/>
          <w:spacing w:val="8"/>
          <w:sz w:val="32"/>
          <w:szCs w:val="32"/>
          <w:lang w:val="en-US" w:eastAsia="zh-CN"/>
        </w:rPr>
        <w:t>：涉及多主体、多部门，缺乏市场激励与跨部门数据共享、联合执法机制，治理合力不足。</w:t>
      </w:r>
    </w:p>
    <w:p w14:paraId="6CB4F4AB">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114" w:name="_Toc4902"/>
      <w:bookmarkStart w:id="115" w:name="_Toc30794"/>
      <w:bookmarkStart w:id="116" w:name="_Toc4804"/>
      <w:bookmarkStart w:id="117" w:name="_Toc20836"/>
      <w:r>
        <w:rPr>
          <w:rFonts w:hint="eastAsia" w:ascii="楷体_GB2312" w:hAnsi="楷体_GB2312" w:eastAsia="楷体_GB2312" w:cs="楷体_GB2312"/>
          <w:b/>
          <w:bCs/>
          <w:color w:val="auto"/>
          <w:spacing w:val="8"/>
          <w:sz w:val="32"/>
          <w:szCs w:val="32"/>
          <w:lang w:val="en-US" w:eastAsia="zh-CN"/>
        </w:rPr>
        <w:t>（四）潜在的发展机遇​</w:t>
      </w:r>
      <w:bookmarkEnd w:id="114"/>
      <w:bookmarkEnd w:id="115"/>
      <w:bookmarkEnd w:id="116"/>
      <w:bookmarkEnd w:id="117"/>
    </w:p>
    <w:p w14:paraId="2F57F0B2">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5" w:firstLineChars="200"/>
        <w:textAlignment w:val="baseline"/>
        <w:rPr>
          <w:rFonts w:hint="eastAsia"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bCs/>
          <w:color w:val="auto"/>
          <w:spacing w:val="8"/>
          <w:sz w:val="32"/>
          <w:szCs w:val="32"/>
          <w:lang w:val="en-US" w:eastAsia="zh-CN"/>
        </w:rPr>
        <w:t>1.政策支撑有力</w:t>
      </w:r>
      <w:r>
        <w:rPr>
          <w:rFonts w:hint="eastAsia" w:ascii="仿宋_GB2312" w:hAnsi="仿宋_GB2312" w:eastAsia="仿宋_GB2312" w:cs="仿宋_GB2312"/>
          <w:b w:val="0"/>
          <w:bCs w:val="0"/>
          <w:color w:val="auto"/>
          <w:spacing w:val="8"/>
          <w:sz w:val="32"/>
          <w:szCs w:val="32"/>
          <w:lang w:val="en-US" w:eastAsia="zh-CN"/>
        </w:rPr>
        <w:t>：根据国务院办公厅转发住房和城乡建设部《关于进一步加强城市建筑垃圾治理的意见》的通知（国办函〔2025〕57号）相关内容，可争取资金、技术与试点，推动设施及信息化升级。​​</w:t>
      </w:r>
    </w:p>
    <w:p w14:paraId="18B739D6">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5" w:firstLineChars="200"/>
        <w:textAlignment w:val="baseline"/>
        <w:rPr>
          <w:rFonts w:hint="eastAsia"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bCs/>
          <w:color w:val="auto"/>
          <w:spacing w:val="8"/>
          <w:sz w:val="32"/>
          <w:szCs w:val="32"/>
          <w:lang w:val="en-US" w:eastAsia="zh-CN"/>
        </w:rPr>
        <w:t>2.区域需求可观</w:t>
      </w:r>
      <w:r>
        <w:rPr>
          <w:rFonts w:hint="eastAsia" w:ascii="仿宋_GB2312" w:hAnsi="仿宋_GB2312" w:eastAsia="仿宋_GB2312" w:cs="仿宋_GB2312"/>
          <w:b w:val="0"/>
          <w:bCs w:val="0"/>
          <w:color w:val="auto"/>
          <w:spacing w:val="8"/>
          <w:sz w:val="32"/>
          <w:szCs w:val="32"/>
          <w:lang w:val="en-US" w:eastAsia="zh-CN"/>
        </w:rPr>
        <w:t>：城市更新、市政项目持续推进，对路基填料、再生砖等需求稳定，补齐资源化短板可实现“本地产、本地用”，降低成本并形成良性循环。​</w:t>
      </w:r>
    </w:p>
    <w:p w14:paraId="278D608C">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5" w:firstLineChars="200"/>
        <w:textAlignment w:val="baseline"/>
        <w:rPr>
          <w:rFonts w:hint="eastAsia"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bCs/>
          <w:color w:val="auto"/>
          <w:spacing w:val="8"/>
          <w:sz w:val="32"/>
          <w:szCs w:val="32"/>
          <w:lang w:val="en-US" w:eastAsia="zh-CN"/>
        </w:rPr>
        <w:t>3.技术升级可行</w:t>
      </w:r>
      <w:r>
        <w:rPr>
          <w:rFonts w:hint="eastAsia" w:ascii="仿宋_GB2312" w:hAnsi="仿宋_GB2312" w:eastAsia="仿宋_GB2312" w:cs="仿宋_GB2312"/>
          <w:b w:val="0"/>
          <w:bCs w:val="0"/>
          <w:color w:val="auto"/>
          <w:spacing w:val="8"/>
          <w:sz w:val="32"/>
          <w:szCs w:val="32"/>
          <w:lang w:val="en-US" w:eastAsia="zh-CN"/>
        </w:rPr>
        <w:t>：现有台账、监控、定位数据为智慧监管奠定基础，引入大数据分析可提升预警能力；周边县区资源化项目经验可参考，降低技术探索成本。​</w:t>
      </w:r>
    </w:p>
    <w:p w14:paraId="4E6344AB">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eastAsia" w:ascii="仿宋_GB2312" w:hAnsi="仿宋_GB2312" w:eastAsia="仿宋_GB2312" w:cs="仿宋_GB2312"/>
          <w:b w:val="0"/>
          <w:bCs w:val="0"/>
          <w:color w:val="auto"/>
          <w:spacing w:val="8"/>
          <w:sz w:val="32"/>
          <w:szCs w:val="32"/>
          <w:lang w:val="en-US" w:eastAsia="zh-CN"/>
        </w:rPr>
      </w:pPr>
      <w:bookmarkStart w:id="118" w:name="_Toc2385"/>
      <w:bookmarkStart w:id="119" w:name="_Toc3642"/>
      <w:bookmarkStart w:id="120" w:name="_Toc22514"/>
      <w:bookmarkStart w:id="121" w:name="_Toc15734"/>
      <w:r>
        <w:rPr>
          <w:rFonts w:hint="eastAsia" w:ascii="黑体" w:hAnsi="黑体" w:eastAsia="黑体" w:cs="黑体"/>
          <w:b w:val="0"/>
          <w:bCs w:val="0"/>
          <w:color w:val="auto"/>
          <w:spacing w:val="2"/>
          <w:sz w:val="31"/>
          <w:szCs w:val="31"/>
          <w:lang w:val="en-US" w:eastAsia="zh-CN"/>
        </w:rPr>
        <w:t>三、建筑垃圾规模预测</w:t>
      </w:r>
      <w:r>
        <w:rPr>
          <w:rFonts w:hint="eastAsia" w:ascii="仿宋_GB2312" w:hAnsi="仿宋_GB2312" w:eastAsia="仿宋_GB2312" w:cs="仿宋_GB2312"/>
          <w:b w:val="0"/>
          <w:bCs w:val="0"/>
          <w:color w:val="auto"/>
          <w:spacing w:val="8"/>
          <w:sz w:val="32"/>
          <w:szCs w:val="32"/>
          <w:lang w:val="en-US" w:eastAsia="zh-CN"/>
        </w:rPr>
        <w:t>​</w:t>
      </w:r>
      <w:bookmarkEnd w:id="118"/>
      <w:bookmarkEnd w:id="119"/>
      <w:bookmarkEnd w:id="120"/>
      <w:bookmarkEnd w:id="121"/>
    </w:p>
    <w:p w14:paraId="0B6F6D27">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仿宋_GB2312" w:hAnsi="仿宋_GB2312" w:eastAsia="仿宋_GB2312" w:cs="仿宋_GB2312"/>
          <w:b w:val="0"/>
          <w:bCs w:val="0"/>
          <w:color w:val="auto"/>
          <w:spacing w:val="8"/>
          <w:sz w:val="32"/>
          <w:szCs w:val="32"/>
          <w:lang w:val="en-US" w:eastAsia="zh-CN"/>
        </w:rPr>
      </w:pPr>
      <w:bookmarkStart w:id="122" w:name="_Toc13102"/>
      <w:bookmarkStart w:id="123" w:name="_Toc26019"/>
      <w:bookmarkStart w:id="124" w:name="_Toc3192"/>
      <w:bookmarkStart w:id="125" w:name="_Toc27962"/>
      <w:r>
        <w:rPr>
          <w:rFonts w:hint="eastAsia" w:ascii="楷体_GB2312" w:hAnsi="楷体_GB2312" w:eastAsia="楷体_GB2312" w:cs="楷体_GB2312"/>
          <w:b/>
          <w:bCs/>
          <w:color w:val="auto"/>
          <w:spacing w:val="8"/>
          <w:sz w:val="32"/>
          <w:szCs w:val="32"/>
          <w:lang w:eastAsia="zh-CN"/>
        </w:rPr>
        <w:t>（</w:t>
      </w:r>
      <w:r>
        <w:rPr>
          <w:rFonts w:hint="eastAsia" w:ascii="楷体_GB2312" w:hAnsi="楷体_GB2312" w:eastAsia="楷体_GB2312" w:cs="楷体_GB2312"/>
          <w:b/>
          <w:bCs/>
          <w:color w:val="auto"/>
          <w:spacing w:val="8"/>
          <w:sz w:val="32"/>
          <w:szCs w:val="32"/>
          <w:lang w:val="en-US" w:eastAsia="zh-CN"/>
        </w:rPr>
        <w:t>一）预测依据</w:t>
      </w:r>
      <w:r>
        <w:rPr>
          <w:rFonts w:hint="eastAsia" w:ascii="仿宋_GB2312" w:hAnsi="仿宋_GB2312" w:eastAsia="仿宋_GB2312" w:cs="仿宋_GB2312"/>
          <w:b w:val="0"/>
          <w:bCs w:val="0"/>
          <w:color w:val="auto"/>
          <w:spacing w:val="8"/>
          <w:sz w:val="32"/>
          <w:szCs w:val="32"/>
          <w:lang w:val="en-US" w:eastAsia="zh-CN"/>
        </w:rPr>
        <w:t>​</w:t>
      </w:r>
      <w:bookmarkEnd w:id="122"/>
      <w:bookmarkEnd w:id="123"/>
      <w:bookmarkEnd w:id="124"/>
      <w:bookmarkEnd w:id="125"/>
    </w:p>
    <w:p w14:paraId="7F111DF9">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5" w:firstLineChars="200"/>
        <w:textAlignment w:val="baseline"/>
        <w:outlineLvl w:val="2"/>
        <w:rPr>
          <w:rFonts w:hint="eastAsia" w:ascii="仿宋_GB2312" w:hAnsi="仿宋_GB2312" w:eastAsia="仿宋_GB2312" w:cs="仿宋_GB2312"/>
          <w:b/>
          <w:bCs/>
          <w:color w:val="auto"/>
          <w:spacing w:val="8"/>
          <w:sz w:val="32"/>
          <w:szCs w:val="32"/>
          <w:lang w:val="en-US" w:eastAsia="zh-CN"/>
        </w:rPr>
      </w:pPr>
      <w:r>
        <w:rPr>
          <w:rFonts w:hint="eastAsia" w:ascii="仿宋_GB2312" w:hAnsi="仿宋_GB2312" w:eastAsia="仿宋_GB2312" w:cs="仿宋_GB2312"/>
          <w:b/>
          <w:bCs/>
          <w:color w:val="auto"/>
          <w:spacing w:val="8"/>
          <w:sz w:val="32"/>
          <w:szCs w:val="32"/>
          <w:lang w:val="en-US" w:eastAsia="zh-CN"/>
        </w:rPr>
        <w:t>1.上位规划导向</w:t>
      </w:r>
    </w:p>
    <w:p w14:paraId="08D1F8E3">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2" w:firstLineChars="200"/>
        <w:textAlignment w:val="baseline"/>
        <w:rPr>
          <w:rFonts w:hint="eastAsia" w:ascii="仿宋_GB2312" w:hAnsi="仿宋_GB2312" w:eastAsia="仿宋_GB2312" w:cs="仿宋_GB2312"/>
          <w:color w:val="auto"/>
          <w:spacing w:val="8"/>
          <w:sz w:val="32"/>
          <w:szCs w:val="32"/>
          <w:lang w:eastAsia="zh-CN"/>
        </w:rPr>
      </w:pPr>
      <w:r>
        <w:rPr>
          <w:rFonts w:hint="eastAsia" w:ascii="仿宋_GB2312" w:hAnsi="仿宋_GB2312" w:eastAsia="仿宋_GB2312" w:cs="仿宋_GB2312"/>
          <w:color w:val="auto"/>
          <w:spacing w:val="8"/>
          <w:sz w:val="32"/>
          <w:szCs w:val="32"/>
          <w:lang w:eastAsia="zh-CN"/>
        </w:rPr>
        <w:t>依据《张掖市国土空间总体规划（2021—2035年）》，甘州区2025—2035年将重点推进</w:t>
      </w:r>
      <w:r>
        <w:rPr>
          <w:rFonts w:hint="eastAsia" w:ascii="仿宋_GB2312" w:hAnsi="仿宋_GB2312" w:eastAsia="仿宋_GB2312" w:cs="仿宋_GB2312"/>
          <w:color w:val="auto"/>
          <w:spacing w:val="8"/>
          <w:sz w:val="32"/>
          <w:szCs w:val="32"/>
          <w:lang w:val="en-US" w:eastAsia="zh-CN"/>
        </w:rPr>
        <w:t>三</w:t>
      </w:r>
      <w:r>
        <w:rPr>
          <w:rFonts w:hint="eastAsia" w:ascii="仿宋_GB2312" w:hAnsi="仿宋_GB2312" w:eastAsia="仿宋_GB2312" w:cs="仿宋_GB2312"/>
          <w:color w:val="auto"/>
          <w:spacing w:val="8"/>
          <w:sz w:val="32"/>
          <w:szCs w:val="32"/>
          <w:lang w:eastAsia="zh-CN"/>
        </w:rPr>
        <w:t>大类建设任务，为建筑垃圾产生量增长提供支撑，具体如下：</w:t>
      </w:r>
    </w:p>
    <w:p w14:paraId="30CB166F">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5" w:firstLineChars="200"/>
        <w:textAlignment w:val="baseline"/>
        <w:rPr>
          <w:rFonts w:hint="eastAsia" w:ascii="仿宋_GB2312" w:hAnsi="仿宋_GB2312" w:eastAsia="仿宋_GB2312" w:cs="仿宋_GB2312"/>
          <w:color w:val="auto"/>
          <w:spacing w:val="8"/>
          <w:sz w:val="32"/>
          <w:szCs w:val="32"/>
          <w:lang w:eastAsia="zh-CN"/>
        </w:rPr>
      </w:pPr>
      <w:r>
        <w:rPr>
          <w:rFonts w:hint="eastAsia" w:ascii="仿宋_GB2312" w:hAnsi="仿宋_GB2312" w:eastAsia="仿宋_GB2312" w:cs="仿宋_GB2312"/>
          <w:b/>
          <w:bCs/>
          <w:color w:val="auto"/>
          <w:spacing w:val="8"/>
          <w:sz w:val="32"/>
          <w:szCs w:val="32"/>
          <w:lang w:eastAsia="zh-CN"/>
        </w:rPr>
        <w:t>中心城区扩容</w:t>
      </w:r>
      <w:r>
        <w:rPr>
          <w:rFonts w:hint="eastAsia" w:ascii="仿宋_GB2312" w:hAnsi="仿宋_GB2312" w:eastAsia="仿宋_GB2312" w:cs="仿宋_GB2312"/>
          <w:color w:val="auto"/>
          <w:spacing w:val="8"/>
          <w:sz w:val="32"/>
          <w:szCs w:val="32"/>
          <w:lang w:eastAsia="zh-CN"/>
        </w:rPr>
        <w:t>：围绕“西拓、东优、南控、北限”</w:t>
      </w:r>
      <w:r>
        <w:rPr>
          <w:rFonts w:hint="eastAsia" w:ascii="仿宋_GB2312" w:hAnsi="仿宋_GB2312" w:eastAsia="仿宋_GB2312" w:cs="仿宋_GB2312"/>
          <w:color w:val="auto"/>
          <w:spacing w:val="8"/>
          <w:sz w:val="32"/>
          <w:szCs w:val="32"/>
          <w:lang w:val="en-US" w:eastAsia="zh-CN"/>
        </w:rPr>
        <w:t>发展</w:t>
      </w:r>
      <w:r>
        <w:rPr>
          <w:rFonts w:hint="eastAsia" w:ascii="仿宋_GB2312" w:hAnsi="仿宋_GB2312" w:eastAsia="仿宋_GB2312" w:cs="仿宋_GB2312"/>
          <w:color w:val="auto"/>
          <w:spacing w:val="8"/>
          <w:sz w:val="32"/>
          <w:szCs w:val="32"/>
          <w:lang w:eastAsia="zh-CN"/>
        </w:rPr>
        <w:t>思路和“一主一副、双轴多点”结构</w:t>
      </w:r>
      <w:r>
        <w:rPr>
          <w:rFonts w:hint="eastAsia" w:ascii="仿宋_GB2312" w:hAnsi="仿宋_GB2312" w:eastAsia="仿宋_GB2312" w:cs="仿宋_GB2312"/>
          <w:color w:val="auto"/>
          <w:spacing w:val="8"/>
          <w:sz w:val="32"/>
          <w:szCs w:val="32"/>
          <w:lang w:val="en-US" w:eastAsia="zh-CN"/>
        </w:rPr>
        <w:t>规划</w:t>
      </w:r>
      <w:r>
        <w:rPr>
          <w:rFonts w:hint="eastAsia" w:ascii="仿宋_GB2312" w:hAnsi="仿宋_GB2312" w:eastAsia="仿宋_GB2312" w:cs="仿宋_GB2312"/>
          <w:color w:val="auto"/>
          <w:spacing w:val="8"/>
          <w:sz w:val="32"/>
          <w:szCs w:val="32"/>
          <w:lang w:eastAsia="zh-CN"/>
        </w:rPr>
        <w:t>开展中心城区扩容，同步实施土地平整、路网配套等工程；</w:t>
      </w:r>
    </w:p>
    <w:p w14:paraId="46634420">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5" w:firstLineChars="200"/>
        <w:textAlignment w:val="baseline"/>
        <w:rPr>
          <w:rFonts w:hint="eastAsia" w:ascii="仿宋_GB2312" w:hAnsi="仿宋_GB2312" w:eastAsia="仿宋_GB2312" w:cs="仿宋_GB2312"/>
          <w:color w:val="auto"/>
          <w:spacing w:val="8"/>
          <w:sz w:val="32"/>
          <w:szCs w:val="32"/>
          <w:lang w:eastAsia="zh-CN"/>
        </w:rPr>
      </w:pPr>
      <w:r>
        <w:rPr>
          <w:rFonts w:hint="eastAsia" w:ascii="仿宋_GB2312" w:hAnsi="仿宋_GB2312" w:eastAsia="仿宋_GB2312" w:cs="仿宋_GB2312"/>
          <w:b/>
          <w:bCs/>
          <w:color w:val="auto"/>
          <w:spacing w:val="8"/>
          <w:sz w:val="32"/>
          <w:szCs w:val="32"/>
          <w:lang w:eastAsia="zh-CN"/>
        </w:rPr>
        <w:t>产业园区升级</w:t>
      </w:r>
      <w:r>
        <w:rPr>
          <w:rFonts w:hint="eastAsia" w:ascii="仿宋_GB2312" w:hAnsi="仿宋_GB2312" w:eastAsia="仿宋_GB2312" w:cs="仿宋_GB2312"/>
          <w:color w:val="auto"/>
          <w:spacing w:val="8"/>
          <w:sz w:val="32"/>
          <w:szCs w:val="32"/>
          <w:lang w:eastAsia="zh-CN"/>
        </w:rPr>
        <w:t>：推进张掖经开区循环经济园区、智能制造产业园区扩区提质，实施厂房新建与基础设施改造，将产生工程垃圾与工程渣土；</w:t>
      </w:r>
    </w:p>
    <w:p w14:paraId="3E62C097">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5" w:firstLineChars="200"/>
        <w:textAlignment w:val="baseline"/>
        <w:rPr>
          <w:rFonts w:hint="eastAsia"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bCs/>
          <w:color w:val="auto"/>
          <w:spacing w:val="8"/>
          <w:sz w:val="32"/>
          <w:szCs w:val="32"/>
          <w:lang w:eastAsia="zh-CN"/>
        </w:rPr>
        <w:t>交通基础设施完善</w:t>
      </w:r>
      <w:r>
        <w:rPr>
          <w:rFonts w:hint="eastAsia" w:ascii="仿宋_GB2312" w:hAnsi="仿宋_GB2312" w:eastAsia="仿宋_GB2312" w:cs="仿宋_GB2312"/>
          <w:color w:val="auto"/>
          <w:spacing w:val="8"/>
          <w:sz w:val="32"/>
          <w:szCs w:val="32"/>
          <w:lang w:eastAsia="zh-CN"/>
        </w:rPr>
        <w:t>：结合甘州区“十五五”期间16个交通谋划项目的建设方向，城市道路新建过程中的开挖、路基施工等环节将产生工程渣土。</w:t>
      </w:r>
      <w:r>
        <w:rPr>
          <w:rFonts w:hint="eastAsia" w:ascii="仿宋_GB2312" w:hAnsi="仿宋_GB2312" w:eastAsia="仿宋_GB2312" w:cs="仿宋_GB2312"/>
          <w:b w:val="0"/>
          <w:bCs w:val="0"/>
          <w:color w:val="auto"/>
          <w:spacing w:val="8"/>
          <w:sz w:val="32"/>
          <w:szCs w:val="32"/>
          <w:lang w:val="en-US" w:eastAsia="zh-CN"/>
        </w:rPr>
        <w:t>​</w:t>
      </w:r>
    </w:p>
    <w:p w14:paraId="353B0885">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5" w:firstLineChars="200"/>
        <w:textAlignment w:val="baseline"/>
        <w:outlineLvl w:val="2"/>
        <w:rPr>
          <w:rFonts w:hint="eastAsia" w:ascii="仿宋_GB2312" w:hAnsi="仿宋_GB2312" w:eastAsia="仿宋_GB2312" w:cs="仿宋_GB2312"/>
          <w:b/>
          <w:bCs/>
          <w:color w:val="auto"/>
          <w:spacing w:val="8"/>
          <w:sz w:val="32"/>
          <w:szCs w:val="32"/>
          <w:lang w:val="en-US" w:eastAsia="zh-CN"/>
        </w:rPr>
      </w:pPr>
      <w:r>
        <w:rPr>
          <w:rFonts w:hint="eastAsia" w:ascii="仿宋_GB2312" w:hAnsi="仿宋_GB2312" w:eastAsia="仿宋_GB2312" w:cs="仿宋_GB2312"/>
          <w:b/>
          <w:bCs/>
          <w:color w:val="auto"/>
          <w:spacing w:val="8"/>
          <w:sz w:val="32"/>
          <w:szCs w:val="32"/>
          <w:lang w:val="en-US" w:eastAsia="zh-CN"/>
        </w:rPr>
        <w:t>2.数据估算说明</w:t>
      </w:r>
    </w:p>
    <w:p w14:paraId="7F3A8F96">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5" w:firstLineChars="200"/>
        <w:textAlignment w:val="baseline"/>
        <w:rPr>
          <w:rFonts w:hint="eastAsia"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bCs/>
          <w:color w:val="auto"/>
          <w:spacing w:val="8"/>
          <w:sz w:val="32"/>
          <w:szCs w:val="32"/>
          <w:lang w:eastAsia="zh-CN"/>
        </w:rPr>
        <w:t>基础数据来源</w:t>
      </w:r>
      <w:r>
        <w:rPr>
          <w:rFonts w:hint="eastAsia" w:ascii="仿宋_GB2312" w:hAnsi="仿宋_GB2312" w:eastAsia="仿宋_GB2312" w:cs="仿宋_GB2312"/>
          <w:color w:val="auto"/>
          <w:spacing w:val="8"/>
          <w:sz w:val="32"/>
          <w:szCs w:val="32"/>
          <w:lang w:eastAsia="zh-CN"/>
        </w:rPr>
        <w:t>：以甘州区住建局相关项目管理资料、城管局备案信息及统计局公开数据为基准，2024年核心基础数据如下：</w:t>
      </w: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3206"/>
        <w:gridCol w:w="2769"/>
        <w:gridCol w:w="3653"/>
      </w:tblGrid>
      <w:tr w14:paraId="319633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5000" w:type="pct"/>
            <w:gridSpan w:val="3"/>
            <w:tcBorders>
              <w:top w:val="nil"/>
              <w:left w:val="nil"/>
              <w:bottom w:val="single" w:color="auto" w:sz="4" w:space="0"/>
              <w:right w:val="nil"/>
            </w:tcBorders>
            <w:shd w:val="clear" w:color="auto" w:fill="auto"/>
            <w:noWrap/>
            <w:vAlign w:val="center"/>
          </w:tcPr>
          <w:p w14:paraId="463AA07D">
            <w:pPr>
              <w:keepNext w:val="0"/>
              <w:keepLines w:val="0"/>
              <w:widowControl/>
              <w:suppressLineNumbers w:val="0"/>
              <w:jc w:val="both"/>
              <w:textAlignment w:val="center"/>
              <w:rPr>
                <w:rFonts w:hint="eastAsia" w:ascii="仿宋_GB2312" w:hAnsi="仿宋_GB2312" w:eastAsia="仿宋_GB2312" w:cs="仿宋_GB2312"/>
                <w:i w:val="0"/>
                <w:iCs w:val="0"/>
                <w:snapToGrid w:val="0"/>
                <w:color w:val="auto"/>
                <w:kern w:val="0"/>
                <w:sz w:val="30"/>
                <w:szCs w:val="30"/>
                <w:u w:val="none"/>
                <w:lang w:val="en-US" w:eastAsia="zh-CN" w:bidi="ar"/>
              </w:rPr>
            </w:pPr>
          </w:p>
          <w:p w14:paraId="3137B8E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i w:val="0"/>
                <w:iCs w:val="0"/>
                <w:snapToGrid w:val="0"/>
                <w:color w:val="auto"/>
                <w:kern w:val="0"/>
                <w:sz w:val="30"/>
                <w:szCs w:val="30"/>
                <w:u w:val="none"/>
                <w:lang w:val="en-US" w:eastAsia="zh-CN" w:bidi="ar"/>
              </w:rPr>
              <w:t>表2-1 基础数据来源</w:t>
            </w:r>
          </w:p>
        </w:tc>
      </w:tr>
      <w:tr w14:paraId="02B3CF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1665" w:type="pct"/>
            <w:tcBorders>
              <w:top w:val="single" w:color="auto" w:sz="4" w:space="0"/>
              <w:left w:val="single" w:color="auto" w:sz="4" w:space="0"/>
              <w:bottom w:val="single" w:color="auto" w:sz="4" w:space="0"/>
              <w:right w:val="single" w:color="auto" w:sz="4" w:space="0"/>
            </w:tcBorders>
            <w:shd w:val="clear" w:color="auto" w:fill="auto"/>
            <w:vAlign w:val="center"/>
          </w:tcPr>
          <w:p w14:paraId="0C753076">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lang w:eastAsia="zh-CN" w:bidi="ar"/>
              </w:rPr>
            </w:pPr>
            <w:r>
              <w:rPr>
                <w:rFonts w:hint="eastAsia" w:ascii="仿宋_GB2312" w:hAnsi="仿宋_GB2312" w:eastAsia="仿宋_GB2312" w:cs="仿宋_GB2312"/>
                <w:b/>
                <w:bCs/>
                <w:i w:val="0"/>
                <w:iCs w:val="0"/>
                <w:snapToGrid w:val="0"/>
                <w:color w:val="000000"/>
                <w:kern w:val="0"/>
                <w:sz w:val="24"/>
                <w:szCs w:val="24"/>
                <w:u w:val="none"/>
                <w:lang w:val="en-US" w:eastAsia="zh-CN" w:bidi="ar"/>
              </w:rPr>
              <w:t>核心变量</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14:paraId="7828116D">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lang w:eastAsia="zh-CN" w:bidi="ar"/>
              </w:rPr>
            </w:pPr>
            <w:r>
              <w:rPr>
                <w:rFonts w:hint="eastAsia" w:ascii="仿宋_GB2312" w:hAnsi="仿宋_GB2312" w:eastAsia="仿宋_GB2312" w:cs="仿宋_GB2312"/>
                <w:b/>
                <w:bCs/>
                <w:i w:val="0"/>
                <w:iCs w:val="0"/>
                <w:snapToGrid w:val="0"/>
                <w:color w:val="000000"/>
                <w:kern w:val="0"/>
                <w:sz w:val="24"/>
                <w:szCs w:val="24"/>
                <w:u w:val="none"/>
                <w:lang w:val="en-US" w:eastAsia="zh-CN" w:bidi="ar"/>
              </w:rPr>
              <w:t>2024年数据</w:t>
            </w:r>
          </w:p>
        </w:tc>
        <w:tc>
          <w:tcPr>
            <w:tcW w:w="1896" w:type="pct"/>
            <w:tcBorders>
              <w:top w:val="single" w:color="auto" w:sz="4" w:space="0"/>
              <w:left w:val="single" w:color="auto" w:sz="4" w:space="0"/>
              <w:bottom w:val="single" w:color="auto" w:sz="4" w:space="0"/>
              <w:right w:val="single" w:color="auto" w:sz="4" w:space="0"/>
            </w:tcBorders>
            <w:shd w:val="clear" w:color="auto" w:fill="auto"/>
            <w:vAlign w:val="center"/>
          </w:tcPr>
          <w:p w14:paraId="2B491A3D">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lang w:eastAsia="zh-CN" w:bidi="ar"/>
              </w:rPr>
            </w:pPr>
            <w:r>
              <w:rPr>
                <w:rFonts w:hint="eastAsia" w:ascii="仿宋_GB2312" w:hAnsi="仿宋_GB2312" w:eastAsia="仿宋_GB2312" w:cs="仿宋_GB2312"/>
                <w:b/>
                <w:bCs/>
                <w:i w:val="0"/>
                <w:iCs w:val="0"/>
                <w:snapToGrid w:val="0"/>
                <w:color w:val="000000"/>
                <w:kern w:val="0"/>
                <w:sz w:val="24"/>
                <w:szCs w:val="24"/>
                <w:u w:val="none"/>
                <w:lang w:val="en-US" w:eastAsia="zh-CN" w:bidi="ar"/>
              </w:rPr>
              <w:t>数据来源</w:t>
            </w:r>
          </w:p>
        </w:tc>
      </w:tr>
      <w:tr w14:paraId="207623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2" w:hRule="atLeast"/>
        </w:trPr>
        <w:tc>
          <w:tcPr>
            <w:tcW w:w="1665" w:type="pct"/>
            <w:tcBorders>
              <w:top w:val="single" w:color="auto" w:sz="4" w:space="0"/>
              <w:left w:val="single" w:color="auto" w:sz="4" w:space="0"/>
              <w:bottom w:val="single" w:color="auto" w:sz="4" w:space="0"/>
              <w:right w:val="single" w:color="auto" w:sz="4" w:space="0"/>
            </w:tcBorders>
            <w:shd w:val="clear" w:color="auto" w:fill="auto"/>
            <w:vAlign w:val="center"/>
          </w:tcPr>
          <w:p w14:paraId="46CAF40B">
            <w:pPr>
              <w:keepNext w:val="0"/>
              <w:keepLines w:val="0"/>
              <w:widowControl/>
              <w:suppressLineNumbers w:val="0"/>
              <w:jc w:val="center"/>
              <w:textAlignment w:val="center"/>
              <w:rPr>
                <w:rFonts w:hint="default" w:ascii="仿宋_GB2312" w:hAnsi="仿宋_GB2312" w:eastAsia="仿宋_GB2312" w:cs="仿宋_GB2312"/>
                <w:i w:val="0"/>
                <w:iCs w:val="0"/>
                <w:snapToGrid w:val="0"/>
                <w:color w:val="000000"/>
                <w:kern w:val="0"/>
                <w:sz w:val="24"/>
                <w:szCs w:val="24"/>
                <w:u w:val="none"/>
                <w:lang w:val="en-US"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房屋竣工面积</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14:paraId="22FEA83B">
            <w:pPr>
              <w:keepNext w:val="0"/>
              <w:keepLines w:val="0"/>
              <w:widowControl/>
              <w:suppressLineNumbers w:val="0"/>
              <w:jc w:val="center"/>
              <w:textAlignment w:val="center"/>
              <w:rPr>
                <w:rFonts w:hint="eastAsia" w:ascii="仿宋_GB2312" w:hAnsi="仿宋_GB2312" w:eastAsia="仿宋_GB2312" w:cs="仿宋_GB2312"/>
                <w:sz w:val="24"/>
                <w:szCs w:val="24"/>
                <w:u w:val="none"/>
                <w:lang w:eastAsia="zh-CN" w:bidi="ar"/>
              </w:rPr>
            </w:pPr>
            <w:r>
              <w:rPr>
                <w:rFonts w:hint="eastAsia" w:ascii="仿宋_GB2312" w:hAnsi="仿宋_GB2312" w:eastAsia="仿宋_GB2312" w:cs="仿宋_GB2312"/>
                <w:sz w:val="24"/>
                <w:szCs w:val="24"/>
                <w:u w:val="none"/>
                <w:lang w:eastAsia="zh-CN" w:bidi="ar"/>
              </w:rPr>
              <w:t>158.18万平方米</w:t>
            </w:r>
          </w:p>
        </w:tc>
        <w:tc>
          <w:tcPr>
            <w:tcW w:w="1896" w:type="pct"/>
            <w:tcBorders>
              <w:top w:val="single" w:color="auto" w:sz="4" w:space="0"/>
              <w:left w:val="single" w:color="auto" w:sz="4" w:space="0"/>
              <w:bottom w:val="single" w:color="auto" w:sz="4" w:space="0"/>
              <w:right w:val="single" w:color="auto" w:sz="4" w:space="0"/>
            </w:tcBorders>
            <w:shd w:val="clear" w:color="auto" w:fill="auto"/>
            <w:vAlign w:val="center"/>
          </w:tcPr>
          <w:p w14:paraId="3A2A0001">
            <w:pPr>
              <w:keepNext w:val="0"/>
              <w:keepLines w:val="0"/>
              <w:widowControl/>
              <w:suppressLineNumbers w:val="0"/>
              <w:jc w:val="center"/>
              <w:textAlignment w:val="center"/>
              <w:rPr>
                <w:rFonts w:hint="eastAsia" w:ascii="仿宋_GB2312" w:hAnsi="仿宋_GB2312" w:eastAsia="仿宋_GB2312" w:cs="仿宋_GB2312"/>
                <w:i w:val="0"/>
                <w:iCs w:val="0"/>
                <w:snapToGrid w:val="0"/>
                <w:color w:val="000000"/>
                <w:kern w:val="0"/>
                <w:sz w:val="24"/>
                <w:szCs w:val="24"/>
                <w:u w:val="none"/>
                <w:lang w:val="en-US" w:eastAsia="zh-CN" w:bidi="ar"/>
              </w:rPr>
            </w:pPr>
            <w:r>
              <w:rPr>
                <w:rFonts w:hint="eastAsia" w:ascii="仿宋_GB2312" w:hAnsi="仿宋_GB2312" w:eastAsia="仿宋_GB2312" w:cs="仿宋_GB2312"/>
                <w:sz w:val="24"/>
                <w:szCs w:val="24"/>
                <w:u w:val="none"/>
                <w:lang w:eastAsia="zh-CN" w:bidi="ar"/>
              </w:rPr>
              <w:t>甘州区国民经济和社会发展统计公报</w:t>
            </w:r>
          </w:p>
        </w:tc>
      </w:tr>
      <w:tr w14:paraId="2BD78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2" w:hRule="atLeast"/>
        </w:trPr>
        <w:tc>
          <w:tcPr>
            <w:tcW w:w="1665" w:type="pct"/>
            <w:tcBorders>
              <w:top w:val="single" w:color="auto" w:sz="4" w:space="0"/>
              <w:left w:val="single" w:color="auto" w:sz="4" w:space="0"/>
              <w:bottom w:val="single" w:color="auto" w:sz="4" w:space="0"/>
              <w:right w:val="single" w:color="auto" w:sz="4" w:space="0"/>
            </w:tcBorders>
            <w:shd w:val="clear" w:color="auto" w:fill="auto"/>
            <w:vAlign w:val="center"/>
          </w:tcPr>
          <w:p w14:paraId="10B4FADD">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房屋拆迁面积</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14:paraId="785D3673">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sz w:val="24"/>
                <w:szCs w:val="24"/>
                <w:u w:val="none"/>
                <w:lang w:val="en-US" w:eastAsia="zh-CN" w:bidi="ar"/>
              </w:rPr>
              <w:t>20.85</w:t>
            </w:r>
            <w:r>
              <w:rPr>
                <w:rFonts w:hint="eastAsia" w:ascii="仿宋_GB2312" w:hAnsi="仿宋_GB2312" w:eastAsia="仿宋_GB2312" w:cs="仿宋_GB2312"/>
                <w:i w:val="0"/>
                <w:iCs w:val="0"/>
                <w:snapToGrid w:val="0"/>
                <w:color w:val="000000"/>
                <w:kern w:val="0"/>
                <w:sz w:val="24"/>
                <w:szCs w:val="24"/>
                <w:u w:val="none"/>
                <w:lang w:val="en-US" w:eastAsia="zh-CN" w:bidi="ar"/>
              </w:rPr>
              <w:t>万平方米</w:t>
            </w:r>
          </w:p>
        </w:tc>
        <w:tc>
          <w:tcPr>
            <w:tcW w:w="1896" w:type="pct"/>
            <w:tcBorders>
              <w:top w:val="single" w:color="auto" w:sz="4" w:space="0"/>
              <w:left w:val="single" w:color="auto" w:sz="4" w:space="0"/>
              <w:bottom w:val="single" w:color="auto" w:sz="4" w:space="0"/>
              <w:right w:val="single" w:color="auto" w:sz="4" w:space="0"/>
            </w:tcBorders>
            <w:shd w:val="clear" w:color="auto" w:fill="auto"/>
            <w:vAlign w:val="center"/>
          </w:tcPr>
          <w:p w14:paraId="0D078806">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中项网、</w:t>
            </w:r>
            <w:r>
              <w:rPr>
                <w:rFonts w:hint="eastAsia" w:ascii="仿宋_GB2312" w:hAnsi="仿宋_GB2312" w:eastAsia="仿宋_GB2312" w:cs="仿宋_GB2312"/>
                <w:sz w:val="24"/>
                <w:szCs w:val="24"/>
                <w:u w:val="none"/>
                <w:lang w:eastAsia="zh-CN" w:bidi="ar"/>
              </w:rPr>
              <w:t>甘州区人民政府</w:t>
            </w:r>
            <w:r>
              <w:rPr>
                <w:rFonts w:hint="eastAsia" w:ascii="仿宋_GB2312" w:hAnsi="仿宋_GB2312" w:eastAsia="仿宋_GB2312" w:cs="仿宋_GB2312"/>
                <w:sz w:val="24"/>
                <w:szCs w:val="24"/>
                <w:u w:val="none"/>
                <w:lang w:val="en-US" w:eastAsia="zh-CN" w:bidi="ar"/>
              </w:rPr>
              <w:t>网</w:t>
            </w:r>
          </w:p>
        </w:tc>
      </w:tr>
      <w:tr w14:paraId="1550CF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5" w:hRule="atLeast"/>
        </w:trPr>
        <w:tc>
          <w:tcPr>
            <w:tcW w:w="1665" w:type="pct"/>
            <w:tcBorders>
              <w:top w:val="single" w:color="auto" w:sz="4" w:space="0"/>
              <w:left w:val="single" w:color="auto" w:sz="4" w:space="0"/>
              <w:bottom w:val="single" w:color="auto" w:sz="4" w:space="0"/>
              <w:right w:val="single" w:color="auto" w:sz="4" w:space="0"/>
            </w:tcBorders>
            <w:shd w:val="clear" w:color="auto" w:fill="auto"/>
            <w:vAlign w:val="center"/>
          </w:tcPr>
          <w:p w14:paraId="31C0F94D">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城镇常住人口</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14:paraId="5D4A4F55">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sz w:val="24"/>
                <w:szCs w:val="24"/>
                <w:u w:val="none"/>
                <w:lang w:eastAsia="zh-CN" w:bidi="ar"/>
              </w:rPr>
              <w:t>2</w:t>
            </w:r>
            <w:r>
              <w:rPr>
                <w:rFonts w:hint="eastAsia" w:ascii="仿宋_GB2312" w:hAnsi="仿宋_GB2312" w:eastAsia="仿宋_GB2312" w:cs="仿宋_GB2312"/>
                <w:sz w:val="24"/>
                <w:szCs w:val="24"/>
                <w:u w:val="none"/>
                <w:lang w:val="en-US" w:eastAsia="zh-CN" w:bidi="ar"/>
              </w:rPr>
              <w:t>9.74</w:t>
            </w:r>
            <w:r>
              <w:rPr>
                <w:rFonts w:hint="eastAsia" w:ascii="仿宋_GB2312" w:hAnsi="仿宋_GB2312" w:eastAsia="仿宋_GB2312" w:cs="仿宋_GB2312"/>
                <w:sz w:val="24"/>
                <w:szCs w:val="24"/>
                <w:u w:val="none"/>
                <w:lang w:eastAsia="zh-CN" w:bidi="ar"/>
              </w:rPr>
              <w:t>万人</w:t>
            </w:r>
          </w:p>
        </w:tc>
        <w:tc>
          <w:tcPr>
            <w:tcW w:w="1896" w:type="pct"/>
            <w:tcBorders>
              <w:top w:val="single" w:color="auto" w:sz="4" w:space="0"/>
              <w:left w:val="single" w:color="auto" w:sz="4" w:space="0"/>
              <w:bottom w:val="single" w:color="auto" w:sz="4" w:space="0"/>
              <w:right w:val="single" w:color="auto" w:sz="4" w:space="0"/>
            </w:tcBorders>
            <w:shd w:val="clear" w:color="auto" w:fill="auto"/>
            <w:vAlign w:val="center"/>
          </w:tcPr>
          <w:p w14:paraId="451947E9">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sz w:val="24"/>
                <w:szCs w:val="24"/>
                <w:u w:val="none"/>
                <w:lang w:eastAsia="zh-CN" w:bidi="ar"/>
              </w:rPr>
              <w:t>甘州区人民政府</w:t>
            </w:r>
            <w:r>
              <w:rPr>
                <w:rFonts w:hint="eastAsia" w:ascii="仿宋_GB2312" w:hAnsi="仿宋_GB2312" w:eastAsia="仿宋_GB2312" w:cs="仿宋_GB2312"/>
                <w:sz w:val="24"/>
                <w:szCs w:val="24"/>
                <w:u w:val="none"/>
                <w:lang w:val="en-US" w:eastAsia="zh-CN" w:bidi="ar"/>
              </w:rPr>
              <w:t>网</w:t>
            </w:r>
          </w:p>
        </w:tc>
      </w:tr>
      <w:tr w14:paraId="0CCC71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5" w:hRule="atLeast"/>
        </w:trPr>
        <w:tc>
          <w:tcPr>
            <w:tcW w:w="1665" w:type="pct"/>
            <w:tcBorders>
              <w:top w:val="single" w:color="auto" w:sz="4" w:space="0"/>
              <w:left w:val="single" w:color="auto" w:sz="4" w:space="0"/>
              <w:bottom w:val="single" w:color="auto" w:sz="4" w:space="0"/>
              <w:right w:val="single" w:color="auto" w:sz="4" w:space="0"/>
            </w:tcBorders>
            <w:shd w:val="clear" w:color="auto" w:fill="auto"/>
            <w:vAlign w:val="center"/>
          </w:tcPr>
          <w:p w14:paraId="182C02DB">
            <w:pPr>
              <w:keepNext w:val="0"/>
              <w:keepLines w:val="0"/>
              <w:widowControl/>
              <w:suppressLineNumbers w:val="0"/>
              <w:jc w:val="center"/>
              <w:textAlignment w:val="center"/>
              <w:rPr>
                <w:rFonts w:hint="eastAsia" w:ascii="仿宋_GB2312" w:hAnsi="仿宋_GB2312" w:eastAsia="仿宋_GB2312" w:cs="仿宋_GB2312"/>
                <w:i w:val="0"/>
                <w:iCs w:val="0"/>
                <w:snapToGrid w:val="0"/>
                <w:color w:val="000000"/>
                <w:kern w:val="0"/>
                <w:sz w:val="24"/>
                <w:szCs w:val="24"/>
                <w:u w:val="none"/>
                <w:lang w:val="en-US"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城镇家庭户数</w:t>
            </w:r>
          </w:p>
          <w:p w14:paraId="4C42170F">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（户均2.62人）</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14:paraId="4E3EA4B3">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11.25万户</w:t>
            </w:r>
          </w:p>
        </w:tc>
        <w:tc>
          <w:tcPr>
            <w:tcW w:w="1896" w:type="pct"/>
            <w:tcBorders>
              <w:top w:val="single" w:color="auto" w:sz="4" w:space="0"/>
              <w:left w:val="single" w:color="auto" w:sz="4" w:space="0"/>
              <w:bottom w:val="single" w:color="auto" w:sz="4" w:space="0"/>
              <w:right w:val="single" w:color="auto" w:sz="4" w:space="0"/>
            </w:tcBorders>
            <w:shd w:val="clear" w:color="auto" w:fill="auto"/>
            <w:vAlign w:val="center"/>
          </w:tcPr>
          <w:p w14:paraId="4CC581CE">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数据推算</w:t>
            </w:r>
          </w:p>
        </w:tc>
      </w:tr>
      <w:tr w14:paraId="063B5F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25" w:hRule="atLeast"/>
        </w:trPr>
        <w:tc>
          <w:tcPr>
            <w:tcW w:w="1665" w:type="pct"/>
            <w:tcBorders>
              <w:top w:val="single" w:color="auto" w:sz="4" w:space="0"/>
              <w:left w:val="single" w:color="auto" w:sz="4" w:space="0"/>
              <w:bottom w:val="single" w:color="auto" w:sz="4" w:space="0"/>
              <w:right w:val="single" w:color="auto" w:sz="4" w:space="0"/>
            </w:tcBorders>
            <w:shd w:val="clear" w:color="auto" w:fill="auto"/>
            <w:vAlign w:val="center"/>
          </w:tcPr>
          <w:p w14:paraId="07A83203">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装修需求户数</w:t>
            </w:r>
          </w:p>
        </w:tc>
        <w:tc>
          <w:tcPr>
            <w:tcW w:w="1438" w:type="pct"/>
            <w:tcBorders>
              <w:top w:val="single" w:color="auto" w:sz="4" w:space="0"/>
              <w:left w:val="single" w:color="auto" w:sz="4" w:space="0"/>
              <w:bottom w:val="single" w:color="auto" w:sz="4" w:space="0"/>
              <w:right w:val="single" w:color="auto" w:sz="4" w:space="0"/>
            </w:tcBorders>
            <w:shd w:val="clear" w:color="auto" w:fill="auto"/>
            <w:vAlign w:val="center"/>
          </w:tcPr>
          <w:p w14:paraId="4391CE95">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3554户</w:t>
            </w:r>
          </w:p>
        </w:tc>
        <w:tc>
          <w:tcPr>
            <w:tcW w:w="1896" w:type="pct"/>
            <w:tcBorders>
              <w:top w:val="single" w:color="auto" w:sz="4" w:space="0"/>
              <w:left w:val="single" w:color="auto" w:sz="4" w:space="0"/>
              <w:bottom w:val="single" w:color="auto" w:sz="4" w:space="0"/>
              <w:right w:val="single" w:color="auto" w:sz="4" w:space="0"/>
            </w:tcBorders>
            <w:shd w:val="clear" w:color="auto" w:fill="auto"/>
            <w:vAlign w:val="center"/>
          </w:tcPr>
          <w:p w14:paraId="41FBEDA3">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sz w:val="24"/>
                <w:szCs w:val="24"/>
                <w:u w:val="none"/>
                <w:lang w:eastAsia="zh-CN" w:bidi="ar"/>
              </w:rPr>
              <w:t>甘州区国民经济和社会发展统计公报</w:t>
            </w:r>
            <w:r>
              <w:rPr>
                <w:rFonts w:hint="eastAsia" w:ascii="仿宋_GB2312" w:hAnsi="仿宋_GB2312" w:eastAsia="仿宋_GB2312" w:cs="仿宋_GB2312"/>
                <w:sz w:val="24"/>
                <w:szCs w:val="24"/>
                <w:u w:val="none"/>
                <w:lang w:val="en-US" w:eastAsia="zh-CN" w:bidi="ar"/>
              </w:rPr>
              <w:t>及数据推算</w:t>
            </w:r>
          </w:p>
        </w:tc>
      </w:tr>
    </w:tbl>
    <w:p w14:paraId="0A6D4198">
      <w:pPr>
        <w:keepNext w:val="0"/>
        <w:keepLines w:val="0"/>
        <w:pageBreakBefore w:val="0"/>
        <w:widowControl w:val="0"/>
        <w:kinsoku/>
        <w:wordWrap w:val="0"/>
        <w:overflowPunct/>
        <w:topLinePunct w:val="0"/>
        <w:autoSpaceDE/>
        <w:autoSpaceDN/>
        <w:bidi w:val="0"/>
        <w:adjustRightInd w:val="0"/>
        <w:snapToGrid w:val="0"/>
        <w:spacing w:line="560" w:lineRule="exact"/>
        <w:ind w:left="0" w:leftChars="0" w:right="0" w:rightChars="0" w:firstLine="675" w:firstLineChars="200"/>
        <w:textAlignment w:val="baseline"/>
        <w:outlineLvl w:val="9"/>
        <w:rPr>
          <w:rFonts w:hint="eastAsia" w:ascii="仿宋_GB2312" w:hAnsi="仿宋_GB2312" w:eastAsia="仿宋_GB2312" w:cs="仿宋_GB2312"/>
          <w:b w:val="0"/>
          <w:bCs w:val="0"/>
          <w:color w:val="auto"/>
          <w:spacing w:val="8"/>
          <w:sz w:val="32"/>
          <w:szCs w:val="32"/>
          <w:lang w:eastAsia="zh-CN"/>
        </w:rPr>
      </w:pPr>
      <w:bookmarkStart w:id="126" w:name="_Toc25469"/>
      <w:bookmarkStart w:id="127" w:name="_Toc2052"/>
      <w:r>
        <w:rPr>
          <w:rFonts w:hint="eastAsia" w:ascii="楷体_GB2312" w:hAnsi="楷体_GB2312" w:eastAsia="楷体_GB2312" w:cs="楷体_GB2312"/>
          <w:b/>
          <w:bCs/>
          <w:color w:val="auto"/>
          <w:spacing w:val="8"/>
          <w:sz w:val="32"/>
          <w:szCs w:val="32"/>
          <w:lang w:eastAsia="zh-CN"/>
        </w:rPr>
        <w:t>产废系数应用：</w:t>
      </w:r>
      <w:r>
        <w:rPr>
          <w:rFonts w:hint="eastAsia" w:ascii="仿宋_GB2312" w:hAnsi="仿宋_GB2312" w:eastAsia="仿宋_GB2312" w:cs="仿宋_GB2312"/>
          <w:b w:val="0"/>
          <w:bCs w:val="0"/>
          <w:color w:val="auto"/>
          <w:spacing w:val="8"/>
          <w:sz w:val="32"/>
          <w:szCs w:val="32"/>
          <w:lang w:eastAsia="zh-CN"/>
        </w:rPr>
        <w:t>严格参考《建筑垃圾处理技术标准》（CJJ/T134-2019）及甘州区2022—2024年典型项目实测数据，确定分类产废系数与修正系数，具体如下：</w:t>
      </w: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51"/>
        <w:gridCol w:w="2913"/>
        <w:gridCol w:w="1523"/>
        <w:gridCol w:w="4241"/>
      </w:tblGrid>
      <w:tr w14:paraId="5771E07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5000" w:type="pct"/>
            <w:gridSpan w:val="4"/>
            <w:tcBorders>
              <w:top w:val="nil"/>
              <w:left w:val="nil"/>
              <w:bottom w:val="single" w:color="auto" w:sz="4" w:space="0"/>
              <w:right w:val="nil"/>
            </w:tcBorders>
            <w:shd w:val="clear" w:color="auto" w:fill="auto"/>
            <w:noWrap/>
            <w:vAlign w:val="center"/>
          </w:tcPr>
          <w:p w14:paraId="07AA86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仿宋_GB2312" w:hAnsi="仿宋_GB2312" w:eastAsia="仿宋_GB2312" w:cs="仿宋_GB2312"/>
                <w:i w:val="0"/>
                <w:iCs w:val="0"/>
                <w:snapToGrid w:val="0"/>
                <w:color w:val="auto"/>
                <w:kern w:val="0"/>
                <w:sz w:val="30"/>
                <w:szCs w:val="30"/>
                <w:u w:val="none"/>
                <w:lang w:val="en-US" w:eastAsia="zh-CN" w:bidi="ar"/>
              </w:rPr>
              <w:t>表2-2产废系数应用表</w:t>
            </w:r>
          </w:p>
        </w:tc>
      </w:tr>
      <w:tr w14:paraId="51DA35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30" w:hRule="atLeast"/>
        </w:trPr>
        <w:tc>
          <w:tcPr>
            <w:tcW w:w="494" w:type="pct"/>
            <w:tcBorders>
              <w:top w:val="single" w:color="auto" w:sz="4" w:space="0"/>
              <w:left w:val="single" w:color="auto" w:sz="4" w:space="0"/>
              <w:bottom w:val="single" w:color="auto" w:sz="4" w:space="0"/>
              <w:right w:val="single" w:color="auto" w:sz="4" w:space="0"/>
            </w:tcBorders>
            <w:shd w:val="clear" w:color="auto" w:fill="auto"/>
            <w:vAlign w:val="center"/>
          </w:tcPr>
          <w:p w14:paraId="7700C3BA">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lang w:eastAsia="zh-CN" w:bidi="ar"/>
              </w:rPr>
            </w:pPr>
            <w:r>
              <w:rPr>
                <w:rFonts w:hint="eastAsia" w:ascii="仿宋_GB2312" w:hAnsi="仿宋_GB2312" w:eastAsia="仿宋_GB2312" w:cs="仿宋_GB2312"/>
                <w:b/>
                <w:bCs/>
                <w:i w:val="0"/>
                <w:iCs w:val="0"/>
                <w:snapToGrid w:val="0"/>
                <w:color w:val="000000"/>
                <w:kern w:val="0"/>
                <w:sz w:val="24"/>
                <w:szCs w:val="24"/>
                <w:u w:val="none"/>
                <w:lang w:val="en-US" w:eastAsia="zh-CN" w:bidi="ar"/>
              </w:rPr>
              <w:t>垃圾类型</w:t>
            </w:r>
          </w:p>
        </w:tc>
        <w:tc>
          <w:tcPr>
            <w:tcW w:w="1513" w:type="pct"/>
            <w:tcBorders>
              <w:top w:val="single" w:color="auto" w:sz="4" w:space="0"/>
              <w:left w:val="single" w:color="auto" w:sz="4" w:space="0"/>
              <w:bottom w:val="single" w:color="auto" w:sz="4" w:space="0"/>
              <w:right w:val="single" w:color="auto" w:sz="4" w:space="0"/>
            </w:tcBorders>
            <w:shd w:val="clear" w:color="auto" w:fill="auto"/>
            <w:vAlign w:val="center"/>
          </w:tcPr>
          <w:p w14:paraId="2377ABDB">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lang w:eastAsia="zh-CN" w:bidi="ar"/>
              </w:rPr>
            </w:pPr>
            <w:r>
              <w:rPr>
                <w:rFonts w:hint="eastAsia" w:ascii="仿宋_GB2312" w:hAnsi="仿宋_GB2312" w:eastAsia="仿宋_GB2312" w:cs="仿宋_GB2312"/>
                <w:b/>
                <w:bCs/>
                <w:i w:val="0"/>
                <w:iCs w:val="0"/>
                <w:snapToGrid w:val="0"/>
                <w:color w:val="000000"/>
                <w:kern w:val="0"/>
                <w:sz w:val="24"/>
                <w:szCs w:val="24"/>
                <w:u w:val="none"/>
                <w:lang w:val="en-US" w:eastAsia="zh-CN" w:bidi="ar"/>
              </w:rPr>
              <w:t>产废系数</w:t>
            </w:r>
          </w:p>
        </w:tc>
        <w:tc>
          <w:tcPr>
            <w:tcW w:w="791" w:type="pct"/>
            <w:tcBorders>
              <w:top w:val="single" w:color="auto" w:sz="4" w:space="0"/>
              <w:left w:val="single" w:color="auto" w:sz="4" w:space="0"/>
              <w:bottom w:val="single" w:color="auto" w:sz="4" w:space="0"/>
              <w:right w:val="single" w:color="auto" w:sz="4" w:space="0"/>
            </w:tcBorders>
            <w:shd w:val="clear" w:color="auto" w:fill="auto"/>
            <w:vAlign w:val="center"/>
          </w:tcPr>
          <w:p w14:paraId="7314CB91">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lang w:eastAsia="zh-CN" w:bidi="ar"/>
              </w:rPr>
            </w:pPr>
            <w:r>
              <w:rPr>
                <w:rFonts w:hint="eastAsia" w:ascii="仿宋_GB2312" w:hAnsi="仿宋_GB2312" w:eastAsia="仿宋_GB2312" w:cs="仿宋_GB2312"/>
                <w:b/>
                <w:bCs/>
                <w:i w:val="0"/>
                <w:iCs w:val="0"/>
                <w:snapToGrid w:val="0"/>
                <w:color w:val="000000"/>
                <w:kern w:val="0"/>
                <w:sz w:val="24"/>
                <w:szCs w:val="24"/>
                <w:u w:val="none"/>
                <w:lang w:val="en-US" w:eastAsia="zh-CN" w:bidi="ar"/>
              </w:rPr>
              <w:t>修正系数</w:t>
            </w:r>
          </w:p>
        </w:tc>
        <w:tc>
          <w:tcPr>
            <w:tcW w:w="2200" w:type="pct"/>
            <w:tcBorders>
              <w:top w:val="single" w:color="auto" w:sz="4" w:space="0"/>
              <w:left w:val="single" w:color="auto" w:sz="4" w:space="0"/>
              <w:bottom w:val="single" w:color="auto" w:sz="4" w:space="0"/>
              <w:right w:val="single" w:color="auto" w:sz="4" w:space="0"/>
            </w:tcBorders>
            <w:shd w:val="clear" w:color="auto" w:fill="auto"/>
            <w:vAlign w:val="center"/>
          </w:tcPr>
          <w:p w14:paraId="3624B61A">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lang w:eastAsia="zh-CN" w:bidi="ar"/>
              </w:rPr>
            </w:pPr>
            <w:r>
              <w:rPr>
                <w:rFonts w:hint="eastAsia" w:ascii="仿宋_GB2312" w:hAnsi="仿宋_GB2312" w:eastAsia="仿宋_GB2312" w:cs="仿宋_GB2312"/>
                <w:b/>
                <w:bCs/>
                <w:i w:val="0"/>
                <w:iCs w:val="0"/>
                <w:snapToGrid w:val="0"/>
                <w:color w:val="000000"/>
                <w:kern w:val="0"/>
                <w:sz w:val="24"/>
                <w:szCs w:val="24"/>
                <w:u w:val="none"/>
                <w:lang w:val="en-US" w:eastAsia="zh-CN" w:bidi="ar"/>
              </w:rPr>
              <w:t>系数说明</w:t>
            </w:r>
          </w:p>
        </w:tc>
      </w:tr>
      <w:tr w14:paraId="2DE45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5" w:hRule="atLeast"/>
        </w:trPr>
        <w:tc>
          <w:tcPr>
            <w:tcW w:w="494" w:type="pct"/>
            <w:tcBorders>
              <w:top w:val="single" w:color="auto" w:sz="4" w:space="0"/>
              <w:left w:val="single" w:color="auto" w:sz="4" w:space="0"/>
              <w:bottom w:val="single" w:color="auto" w:sz="4" w:space="0"/>
              <w:right w:val="single" w:color="auto" w:sz="4" w:space="0"/>
            </w:tcBorders>
            <w:shd w:val="clear" w:color="auto" w:fill="auto"/>
            <w:vAlign w:val="center"/>
          </w:tcPr>
          <w:p w14:paraId="55118288">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工程渣土</w:t>
            </w:r>
          </w:p>
        </w:tc>
        <w:tc>
          <w:tcPr>
            <w:tcW w:w="1513" w:type="pct"/>
            <w:tcBorders>
              <w:top w:val="single" w:color="auto" w:sz="4" w:space="0"/>
              <w:left w:val="single" w:color="auto" w:sz="4" w:space="0"/>
              <w:bottom w:val="single" w:color="auto" w:sz="4" w:space="0"/>
              <w:right w:val="single" w:color="auto" w:sz="4" w:space="0"/>
            </w:tcBorders>
            <w:shd w:val="clear" w:color="auto" w:fill="auto"/>
            <w:vAlign w:val="center"/>
          </w:tcPr>
          <w:p w14:paraId="4FC9BBC2">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0.75万吨/平方公里（新增建成区）、0.9万吨/公里（新建道路）</w:t>
            </w:r>
          </w:p>
        </w:tc>
        <w:tc>
          <w:tcPr>
            <w:tcW w:w="791" w:type="pct"/>
            <w:tcBorders>
              <w:top w:val="single" w:color="auto" w:sz="4" w:space="0"/>
              <w:left w:val="single" w:color="auto" w:sz="4" w:space="0"/>
              <w:bottom w:val="single" w:color="auto" w:sz="4" w:space="0"/>
              <w:right w:val="single" w:color="auto" w:sz="4" w:space="0"/>
            </w:tcBorders>
            <w:shd w:val="clear" w:color="auto" w:fill="auto"/>
            <w:vAlign w:val="center"/>
          </w:tcPr>
          <w:p w14:paraId="449FE9AD">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p>
        </w:tc>
        <w:tc>
          <w:tcPr>
            <w:tcW w:w="2200" w:type="pct"/>
            <w:tcBorders>
              <w:top w:val="single" w:color="auto" w:sz="4" w:space="0"/>
              <w:left w:val="single" w:color="auto" w:sz="4" w:space="0"/>
              <w:bottom w:val="single" w:color="auto" w:sz="4" w:space="0"/>
              <w:right w:val="single" w:color="auto" w:sz="4" w:space="0"/>
            </w:tcBorders>
            <w:shd w:val="clear" w:color="auto" w:fill="auto"/>
            <w:vAlign w:val="center"/>
          </w:tcPr>
          <w:p w14:paraId="1EC46D84">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结合甘州区砂壤土地质，基坑开挖渣土系数1.3吨/平方米，折算为区域综合系数</w:t>
            </w:r>
          </w:p>
        </w:tc>
      </w:tr>
      <w:tr w14:paraId="1A8A19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5" w:hRule="atLeast"/>
        </w:trPr>
        <w:tc>
          <w:tcPr>
            <w:tcW w:w="494" w:type="pct"/>
            <w:tcBorders>
              <w:top w:val="single" w:color="auto" w:sz="4" w:space="0"/>
              <w:left w:val="single" w:color="auto" w:sz="4" w:space="0"/>
              <w:bottom w:val="single" w:color="auto" w:sz="4" w:space="0"/>
              <w:right w:val="single" w:color="auto" w:sz="4" w:space="0"/>
            </w:tcBorders>
            <w:shd w:val="clear" w:color="auto" w:fill="auto"/>
            <w:vAlign w:val="center"/>
          </w:tcPr>
          <w:p w14:paraId="71ABCADA">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工程垃圾</w:t>
            </w:r>
          </w:p>
        </w:tc>
        <w:tc>
          <w:tcPr>
            <w:tcW w:w="1513" w:type="pct"/>
            <w:tcBorders>
              <w:top w:val="single" w:color="auto" w:sz="4" w:space="0"/>
              <w:left w:val="single" w:color="auto" w:sz="4" w:space="0"/>
              <w:bottom w:val="single" w:color="auto" w:sz="4" w:space="0"/>
              <w:right w:val="single" w:color="auto" w:sz="4" w:space="0"/>
            </w:tcBorders>
            <w:shd w:val="clear" w:color="auto" w:fill="auto"/>
            <w:vAlign w:val="center"/>
          </w:tcPr>
          <w:p w14:paraId="379A91AE">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m</w:t>
            </w:r>
            <w:r>
              <w:rPr>
                <w:rFonts w:hint="eastAsia" w:ascii="仿宋_GB2312" w:hAnsi="仿宋_GB2312" w:eastAsia="仿宋_GB2312" w:cs="仿宋_GB2312"/>
                <w:i w:val="0"/>
                <w:iCs w:val="0"/>
                <w:snapToGrid w:val="0"/>
                <w:color w:val="000000"/>
                <w:kern w:val="0"/>
                <w:sz w:val="24"/>
                <w:szCs w:val="24"/>
                <w:u w:val="none"/>
                <w:vertAlign w:val="subscript"/>
                <w:lang w:val="en-US" w:eastAsia="zh-CN" w:bidi="ar"/>
              </w:rPr>
              <w:t>g</w:t>
            </w:r>
            <w:r>
              <w:rPr>
                <w:rFonts w:hint="eastAsia" w:ascii="仿宋_GB2312" w:hAnsi="仿宋_GB2312" w:eastAsia="仿宋_GB2312" w:cs="仿宋_GB2312"/>
                <w:i w:val="0"/>
                <w:iCs w:val="0"/>
                <w:snapToGrid w:val="0"/>
                <w:color w:val="000000"/>
                <w:kern w:val="0"/>
                <w:sz w:val="24"/>
                <w:szCs w:val="24"/>
                <w:u w:val="none"/>
                <w:lang w:val="en-US" w:eastAsia="zh-CN" w:bidi="ar"/>
              </w:rPr>
              <w:t>=0.05</w:t>
            </w:r>
            <w:r>
              <w:rPr>
                <w:rFonts w:hint="eastAsia" w:ascii="仿宋_GB2312" w:hAnsi="仿宋_GB2312" w:eastAsia="仿宋_GB2312" w:cs="仿宋_GB2312"/>
                <w:snapToGrid w:val="0"/>
                <w:color w:val="000000"/>
                <w:sz w:val="24"/>
                <w:szCs w:val="24"/>
                <w:u w:val="none"/>
                <w:lang w:val="en-US" w:eastAsia="zh-CN" w:bidi="ar"/>
              </w:rPr>
              <w:t>万吨/万平方米（新增建筑面积）</w:t>
            </w:r>
          </w:p>
        </w:tc>
        <w:tc>
          <w:tcPr>
            <w:tcW w:w="791" w:type="pct"/>
            <w:tcBorders>
              <w:top w:val="single" w:color="auto" w:sz="4" w:space="0"/>
              <w:left w:val="single" w:color="auto" w:sz="4" w:space="0"/>
              <w:bottom w:val="single" w:color="auto" w:sz="4" w:space="0"/>
              <w:right w:val="single" w:color="auto" w:sz="4" w:space="0"/>
            </w:tcBorders>
            <w:shd w:val="clear" w:color="auto" w:fill="auto"/>
            <w:vAlign w:val="center"/>
          </w:tcPr>
          <w:p w14:paraId="0A4D2415">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k</w:t>
            </w:r>
            <w:r>
              <w:rPr>
                <w:rFonts w:hint="eastAsia" w:ascii="仿宋_GB2312" w:hAnsi="仿宋_GB2312" w:eastAsia="仿宋_GB2312" w:cs="仿宋_GB2312"/>
                <w:i w:val="0"/>
                <w:iCs w:val="0"/>
                <w:snapToGrid w:val="0"/>
                <w:color w:val="000000"/>
                <w:kern w:val="0"/>
                <w:sz w:val="24"/>
                <w:szCs w:val="24"/>
                <w:u w:val="none"/>
                <w:vertAlign w:val="subscript"/>
                <w:lang w:val="en-US" w:eastAsia="zh-CN" w:bidi="ar"/>
              </w:rPr>
              <w:t>g</w:t>
            </w:r>
            <w:r>
              <w:rPr>
                <w:rFonts w:hint="eastAsia" w:ascii="仿宋_GB2312" w:hAnsi="仿宋_GB2312" w:eastAsia="仿宋_GB2312" w:cs="仿宋_GB2312"/>
                <w:i w:val="0"/>
                <w:iCs w:val="0"/>
                <w:snapToGrid w:val="0"/>
                <w:color w:val="000000"/>
                <w:kern w:val="0"/>
                <w:sz w:val="24"/>
                <w:szCs w:val="24"/>
                <w:u w:val="none"/>
                <w:lang w:val="en-US" w:eastAsia="zh-CN" w:bidi="ar"/>
              </w:rPr>
              <w:t>=0.9</w:t>
            </w:r>
          </w:p>
        </w:tc>
        <w:tc>
          <w:tcPr>
            <w:tcW w:w="2200" w:type="pct"/>
            <w:tcBorders>
              <w:top w:val="single" w:color="auto" w:sz="4" w:space="0"/>
              <w:left w:val="single" w:color="auto" w:sz="4" w:space="0"/>
              <w:bottom w:val="single" w:color="auto" w:sz="4" w:space="0"/>
              <w:right w:val="single" w:color="auto" w:sz="4" w:space="0"/>
            </w:tcBorders>
            <w:shd w:val="clear" w:color="auto" w:fill="auto"/>
            <w:vAlign w:val="center"/>
          </w:tcPr>
          <w:p w14:paraId="7D21ED50">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因装配式建筑占比30%，较传统施工减少10%垃圾，故取0.9（2030年</w:t>
            </w:r>
            <w:r>
              <w:rPr>
                <w:rFonts w:hint="eastAsia" w:ascii="仿宋_GB2312" w:hAnsi="仿宋_GB2312" w:eastAsia="仿宋_GB2312" w:cs="仿宋_GB2312"/>
                <w:snapToGrid w:val="0"/>
                <w:color w:val="000000"/>
                <w:sz w:val="24"/>
                <w:szCs w:val="24"/>
                <w:u w:val="none"/>
                <w:lang w:val="en-US" w:eastAsia="zh-CN" w:bidi="ar"/>
              </w:rPr>
              <w:t>降至0.85）</w:t>
            </w:r>
          </w:p>
        </w:tc>
      </w:tr>
      <w:tr w14:paraId="7A5150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60" w:hRule="atLeast"/>
        </w:trPr>
        <w:tc>
          <w:tcPr>
            <w:tcW w:w="494" w:type="pct"/>
            <w:tcBorders>
              <w:top w:val="single" w:color="auto" w:sz="4" w:space="0"/>
              <w:left w:val="single" w:color="auto" w:sz="4" w:space="0"/>
              <w:bottom w:val="single" w:color="auto" w:sz="4" w:space="0"/>
              <w:right w:val="single" w:color="auto" w:sz="4" w:space="0"/>
            </w:tcBorders>
            <w:shd w:val="clear" w:color="auto" w:fill="auto"/>
            <w:vAlign w:val="center"/>
          </w:tcPr>
          <w:p w14:paraId="64088555">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拆迁垃圾</w:t>
            </w:r>
          </w:p>
        </w:tc>
        <w:tc>
          <w:tcPr>
            <w:tcW w:w="1513" w:type="pct"/>
            <w:tcBorders>
              <w:top w:val="single" w:color="auto" w:sz="4" w:space="0"/>
              <w:left w:val="single" w:color="auto" w:sz="4" w:space="0"/>
              <w:bottom w:val="single" w:color="auto" w:sz="4" w:space="0"/>
              <w:right w:val="single" w:color="auto" w:sz="4" w:space="0"/>
            </w:tcBorders>
            <w:shd w:val="clear" w:color="auto" w:fill="auto"/>
            <w:vAlign w:val="center"/>
          </w:tcPr>
          <w:p w14:paraId="16D8D184">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m</w:t>
            </w:r>
            <w:r>
              <w:rPr>
                <w:rFonts w:hint="eastAsia" w:ascii="仿宋_GB2312" w:hAnsi="仿宋_GB2312" w:eastAsia="仿宋_GB2312" w:cs="仿宋_GB2312"/>
                <w:i w:val="0"/>
                <w:iCs w:val="0"/>
                <w:snapToGrid w:val="0"/>
                <w:color w:val="000000"/>
                <w:kern w:val="0"/>
                <w:sz w:val="24"/>
                <w:szCs w:val="24"/>
                <w:u w:val="none"/>
                <w:vertAlign w:val="subscript"/>
                <w:lang w:val="en-US" w:eastAsia="zh-CN" w:bidi="ar"/>
              </w:rPr>
              <w:t>c</w:t>
            </w:r>
            <w:r>
              <w:rPr>
                <w:rFonts w:hint="eastAsia" w:ascii="仿宋_GB2312" w:hAnsi="仿宋_GB2312" w:eastAsia="仿宋_GB2312" w:cs="仿宋_GB2312"/>
                <w:i w:val="0"/>
                <w:iCs w:val="0"/>
                <w:snapToGrid w:val="0"/>
                <w:color w:val="000000"/>
                <w:kern w:val="0"/>
                <w:sz w:val="24"/>
                <w:szCs w:val="24"/>
                <w:u w:val="none"/>
                <w:lang w:val="en-US" w:eastAsia="zh-CN" w:bidi="ar"/>
              </w:rPr>
              <w:t>=2.06</w:t>
            </w:r>
            <w:r>
              <w:rPr>
                <w:rFonts w:hint="eastAsia" w:ascii="仿宋_GB2312" w:hAnsi="仿宋_GB2312" w:eastAsia="仿宋_GB2312" w:cs="仿宋_GB2312"/>
                <w:snapToGrid w:val="0"/>
                <w:color w:val="000000"/>
                <w:sz w:val="24"/>
                <w:szCs w:val="24"/>
                <w:u w:val="none"/>
                <w:lang w:val="en-US" w:eastAsia="zh-CN" w:bidi="ar"/>
              </w:rPr>
              <w:t>吨/平方米（拆迁面积）</w:t>
            </w:r>
          </w:p>
        </w:tc>
        <w:tc>
          <w:tcPr>
            <w:tcW w:w="791" w:type="pct"/>
            <w:tcBorders>
              <w:top w:val="single" w:color="auto" w:sz="4" w:space="0"/>
              <w:left w:val="single" w:color="auto" w:sz="4" w:space="0"/>
              <w:bottom w:val="single" w:color="auto" w:sz="4" w:space="0"/>
              <w:right w:val="single" w:color="auto" w:sz="4" w:space="0"/>
            </w:tcBorders>
            <w:shd w:val="clear" w:color="auto" w:fill="auto"/>
            <w:vAlign w:val="center"/>
          </w:tcPr>
          <w:p w14:paraId="53557879">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p>
        </w:tc>
        <w:tc>
          <w:tcPr>
            <w:tcW w:w="2200" w:type="pct"/>
            <w:tcBorders>
              <w:top w:val="single" w:color="auto" w:sz="4" w:space="0"/>
              <w:left w:val="single" w:color="auto" w:sz="4" w:space="0"/>
              <w:bottom w:val="single" w:color="auto" w:sz="4" w:space="0"/>
              <w:right w:val="single" w:color="auto" w:sz="4" w:space="0"/>
            </w:tcBorders>
            <w:shd w:val="clear" w:color="auto" w:fill="auto"/>
            <w:vAlign w:val="center"/>
          </w:tcPr>
          <w:p w14:paraId="28F9FF89">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基于甘州区老城区砖混结构建筑实测（2023年棚户区改造项目平均2.1吨/平方米，取整为2.06）</w:t>
            </w:r>
          </w:p>
        </w:tc>
      </w:tr>
      <w:tr w14:paraId="4D663B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5" w:hRule="atLeast"/>
        </w:trPr>
        <w:tc>
          <w:tcPr>
            <w:tcW w:w="494" w:type="pct"/>
            <w:tcBorders>
              <w:top w:val="single" w:color="auto" w:sz="4" w:space="0"/>
              <w:left w:val="single" w:color="auto" w:sz="4" w:space="0"/>
              <w:bottom w:val="single" w:color="auto" w:sz="4" w:space="0"/>
              <w:right w:val="single" w:color="auto" w:sz="4" w:space="0"/>
            </w:tcBorders>
            <w:shd w:val="clear" w:color="auto" w:fill="auto"/>
            <w:vAlign w:val="center"/>
          </w:tcPr>
          <w:p w14:paraId="59C5A13D">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装修垃圾</w:t>
            </w:r>
          </w:p>
        </w:tc>
        <w:tc>
          <w:tcPr>
            <w:tcW w:w="1513" w:type="pct"/>
            <w:tcBorders>
              <w:top w:val="single" w:color="auto" w:sz="4" w:space="0"/>
              <w:left w:val="single" w:color="auto" w:sz="4" w:space="0"/>
              <w:bottom w:val="single" w:color="auto" w:sz="4" w:space="0"/>
              <w:right w:val="single" w:color="auto" w:sz="4" w:space="0"/>
            </w:tcBorders>
            <w:shd w:val="clear" w:color="auto" w:fill="auto"/>
            <w:vAlign w:val="center"/>
          </w:tcPr>
          <w:p w14:paraId="1B6CBE34">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m</w:t>
            </w:r>
            <w:r>
              <w:rPr>
                <w:rFonts w:hint="eastAsia" w:ascii="仿宋_GB2312" w:hAnsi="仿宋_GB2312" w:eastAsia="仿宋_GB2312" w:cs="仿宋_GB2312"/>
                <w:i w:val="0"/>
                <w:iCs w:val="0"/>
                <w:snapToGrid w:val="0"/>
                <w:color w:val="000000"/>
                <w:kern w:val="0"/>
                <w:sz w:val="24"/>
                <w:szCs w:val="24"/>
                <w:u w:val="none"/>
                <w:vertAlign w:val="subscript"/>
                <w:lang w:val="en-US" w:eastAsia="zh-CN" w:bidi="ar"/>
              </w:rPr>
              <w:t>z</w:t>
            </w:r>
            <w:r>
              <w:rPr>
                <w:rFonts w:hint="eastAsia" w:ascii="仿宋_GB2312" w:hAnsi="仿宋_GB2312" w:eastAsia="仿宋_GB2312" w:cs="仿宋_GB2312"/>
                <w:i w:val="0"/>
                <w:iCs w:val="0"/>
                <w:snapToGrid w:val="0"/>
                <w:color w:val="000000"/>
                <w:kern w:val="0"/>
                <w:sz w:val="24"/>
                <w:szCs w:val="24"/>
                <w:u w:val="none"/>
                <w:lang w:val="en-US" w:eastAsia="zh-CN" w:bidi="ar"/>
              </w:rPr>
              <w:t>=0.7</w:t>
            </w:r>
            <w:r>
              <w:rPr>
                <w:rFonts w:hint="eastAsia" w:ascii="仿宋_GB2312" w:hAnsi="仿宋_GB2312" w:eastAsia="仿宋_GB2312" w:cs="仿宋_GB2312"/>
                <w:snapToGrid w:val="0"/>
                <w:color w:val="000000"/>
                <w:sz w:val="24"/>
                <w:szCs w:val="24"/>
                <w:u w:val="none"/>
                <w:lang w:val="en-US" w:eastAsia="zh-CN" w:bidi="ar"/>
              </w:rPr>
              <w:t>吨/户（装修需求户数）</w:t>
            </w:r>
          </w:p>
        </w:tc>
        <w:tc>
          <w:tcPr>
            <w:tcW w:w="791" w:type="pct"/>
            <w:tcBorders>
              <w:top w:val="single" w:color="auto" w:sz="4" w:space="0"/>
              <w:left w:val="single" w:color="auto" w:sz="4" w:space="0"/>
              <w:bottom w:val="single" w:color="auto" w:sz="4" w:space="0"/>
              <w:right w:val="single" w:color="auto" w:sz="4" w:space="0"/>
            </w:tcBorders>
            <w:shd w:val="clear" w:color="auto" w:fill="auto"/>
            <w:vAlign w:val="center"/>
          </w:tcPr>
          <w:p w14:paraId="13FE3BB7">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k</w:t>
            </w:r>
            <w:r>
              <w:rPr>
                <w:rFonts w:hint="eastAsia" w:ascii="仿宋_GB2312" w:hAnsi="仿宋_GB2312" w:eastAsia="仿宋_GB2312" w:cs="仿宋_GB2312"/>
                <w:i w:val="0"/>
                <w:iCs w:val="0"/>
                <w:snapToGrid w:val="0"/>
                <w:color w:val="000000"/>
                <w:kern w:val="0"/>
                <w:sz w:val="24"/>
                <w:szCs w:val="24"/>
                <w:u w:val="none"/>
                <w:vertAlign w:val="subscript"/>
                <w:lang w:val="en-US" w:eastAsia="zh-CN" w:bidi="ar"/>
              </w:rPr>
              <w:t>z</w:t>
            </w:r>
            <w:r>
              <w:rPr>
                <w:rFonts w:hint="eastAsia" w:ascii="仿宋_GB2312" w:hAnsi="仿宋_GB2312" w:eastAsia="仿宋_GB2312" w:cs="仿宋_GB2312"/>
                <w:i w:val="0"/>
                <w:iCs w:val="0"/>
                <w:snapToGrid w:val="0"/>
                <w:color w:val="000000"/>
                <w:kern w:val="0"/>
                <w:sz w:val="24"/>
                <w:szCs w:val="24"/>
                <w:u w:val="none"/>
                <w:lang w:val="en-US" w:eastAsia="zh-CN" w:bidi="ar"/>
              </w:rPr>
              <w:t>=0.9</w:t>
            </w:r>
          </w:p>
        </w:tc>
        <w:tc>
          <w:tcPr>
            <w:tcW w:w="2200" w:type="pct"/>
            <w:tcBorders>
              <w:top w:val="single" w:color="auto" w:sz="4" w:space="0"/>
              <w:left w:val="single" w:color="auto" w:sz="4" w:space="0"/>
              <w:bottom w:val="single" w:color="auto" w:sz="4" w:space="0"/>
              <w:right w:val="single" w:color="auto" w:sz="4" w:space="0"/>
            </w:tcBorders>
            <w:shd w:val="clear" w:color="auto" w:fill="auto"/>
            <w:vAlign w:val="center"/>
          </w:tcPr>
          <w:p w14:paraId="4A0B4045">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全装修房占比30%，减少业主二次装修垃圾10%，故取0.9（2030年</w:t>
            </w:r>
            <w:r>
              <w:rPr>
                <w:rFonts w:hint="eastAsia" w:ascii="仿宋_GB2312" w:hAnsi="仿宋_GB2312" w:eastAsia="仿宋_GB2312" w:cs="仿宋_GB2312"/>
                <w:snapToGrid w:val="0"/>
                <w:color w:val="000000"/>
                <w:sz w:val="24"/>
                <w:szCs w:val="24"/>
                <w:u w:val="none"/>
                <w:lang w:val="en-US" w:eastAsia="zh-CN" w:bidi="ar"/>
              </w:rPr>
              <w:t>降至0.8）</w:t>
            </w:r>
          </w:p>
        </w:tc>
      </w:tr>
    </w:tbl>
    <w:p w14:paraId="2716FC74">
      <w:pPr>
        <w:keepNext w:val="0"/>
        <w:keepLines w:val="0"/>
        <w:pageBreakBefore w:val="0"/>
        <w:widowControl w:val="0"/>
        <w:kinsoku/>
        <w:wordWrap w:val="0"/>
        <w:overflowPunct/>
        <w:topLinePunct w:val="0"/>
        <w:autoSpaceDE/>
        <w:autoSpaceDN/>
        <w:bidi w:val="0"/>
        <w:adjustRightInd w:val="0"/>
        <w:snapToGrid w:val="0"/>
        <w:spacing w:line="560" w:lineRule="exact"/>
        <w:ind w:left="0" w:leftChars="0" w:right="0" w:rightChars="0" w:firstLine="675" w:firstLineChars="200"/>
        <w:textAlignment w:val="baseline"/>
        <w:outlineLvl w:val="9"/>
        <w:rPr>
          <w:rFonts w:hint="eastAsia" w:ascii="仿宋_GB2312" w:hAnsi="仿宋_GB2312" w:eastAsia="仿宋_GB2312" w:cs="仿宋_GB2312"/>
          <w:color w:val="auto"/>
          <w:spacing w:val="8"/>
          <w:sz w:val="32"/>
          <w:szCs w:val="32"/>
          <w:lang w:eastAsia="zh-CN"/>
        </w:rPr>
      </w:pPr>
      <w:r>
        <w:rPr>
          <w:rFonts w:hint="eastAsia" w:ascii="仿宋_GB2312" w:hAnsi="仿宋_GB2312" w:eastAsia="仿宋_GB2312" w:cs="仿宋_GB2312"/>
          <w:b/>
          <w:bCs/>
          <w:color w:val="auto"/>
          <w:spacing w:val="8"/>
          <w:sz w:val="32"/>
          <w:szCs w:val="32"/>
          <w:lang w:eastAsia="zh-CN"/>
        </w:rPr>
        <w:t>预测逻辑</w:t>
      </w:r>
      <w:r>
        <w:rPr>
          <w:rFonts w:hint="eastAsia" w:ascii="仿宋_GB2312" w:hAnsi="仿宋_GB2312" w:eastAsia="仿宋_GB2312" w:cs="仿宋_GB2312"/>
          <w:color w:val="auto"/>
          <w:spacing w:val="8"/>
          <w:sz w:val="32"/>
          <w:szCs w:val="32"/>
          <w:lang w:eastAsia="zh-CN"/>
        </w:rPr>
        <w:t>：按“分类测算、动态调整”原则，结合建设项目节奏设定分阶段增速，具体增速依据如下：</w:t>
      </w:r>
    </w:p>
    <w:p w14:paraId="70EEDDAB">
      <w:pPr>
        <w:keepNext w:val="0"/>
        <w:keepLines w:val="0"/>
        <w:pageBreakBefore w:val="0"/>
        <w:widowControl w:val="0"/>
        <w:kinsoku/>
        <w:wordWrap w:val="0"/>
        <w:overflowPunct/>
        <w:topLinePunct w:val="0"/>
        <w:autoSpaceDE/>
        <w:autoSpaceDN/>
        <w:bidi w:val="0"/>
        <w:adjustRightInd w:val="0"/>
        <w:snapToGrid w:val="0"/>
        <w:spacing w:line="560" w:lineRule="exact"/>
        <w:ind w:left="0" w:leftChars="0" w:right="0" w:rightChars="0" w:firstLine="672" w:firstLineChars="200"/>
        <w:textAlignment w:val="baseline"/>
        <w:outlineLvl w:val="9"/>
        <w:rPr>
          <w:rFonts w:hint="eastAsia" w:ascii="仿宋_GB2312" w:hAnsi="仿宋_GB2312" w:eastAsia="仿宋_GB2312" w:cs="仿宋_GB2312"/>
          <w:color w:val="auto"/>
          <w:spacing w:val="8"/>
          <w:sz w:val="32"/>
          <w:szCs w:val="32"/>
          <w:lang w:eastAsia="zh-CN"/>
        </w:rPr>
      </w:pPr>
      <w:r>
        <w:rPr>
          <w:rFonts w:hint="eastAsia" w:ascii="仿宋_GB2312" w:hAnsi="仿宋_GB2312" w:eastAsia="仿宋_GB2312" w:cs="仿宋_GB2312"/>
          <w:color w:val="auto"/>
          <w:spacing w:val="8"/>
          <w:sz w:val="32"/>
          <w:szCs w:val="32"/>
          <w:lang w:eastAsia="zh-CN"/>
        </w:rPr>
        <w:t>工程渣土：2025—2030年（中心城区扩容与道路建设集中期）增速</w:t>
      </w:r>
      <w:r>
        <w:rPr>
          <w:rFonts w:hint="eastAsia" w:ascii="仿宋_GB2312" w:hAnsi="仿宋_GB2312" w:eastAsia="仿宋_GB2312" w:cs="仿宋_GB2312"/>
          <w:color w:val="auto"/>
          <w:spacing w:val="8"/>
          <w:sz w:val="32"/>
          <w:szCs w:val="32"/>
          <w:lang w:val="en-US" w:eastAsia="zh-CN"/>
        </w:rPr>
        <w:t>约5</w:t>
      </w:r>
      <w:r>
        <w:rPr>
          <w:rFonts w:hint="eastAsia" w:ascii="仿宋_GB2312" w:hAnsi="仿宋_GB2312" w:eastAsia="仿宋_GB2312" w:cs="仿宋_GB2312"/>
          <w:color w:val="auto"/>
          <w:spacing w:val="8"/>
          <w:sz w:val="32"/>
          <w:szCs w:val="32"/>
          <w:lang w:eastAsia="zh-CN"/>
        </w:rPr>
        <w:t>%，2031—2035年（建设放缓）增速</w:t>
      </w:r>
      <w:r>
        <w:rPr>
          <w:rFonts w:hint="eastAsia" w:ascii="仿宋_GB2312" w:hAnsi="仿宋_GB2312" w:eastAsia="仿宋_GB2312" w:cs="仿宋_GB2312"/>
          <w:color w:val="auto"/>
          <w:spacing w:val="8"/>
          <w:sz w:val="32"/>
          <w:szCs w:val="32"/>
          <w:lang w:val="en-US" w:eastAsia="zh-CN"/>
        </w:rPr>
        <w:t>约-1</w:t>
      </w:r>
      <w:r>
        <w:rPr>
          <w:rFonts w:hint="eastAsia" w:ascii="仿宋_GB2312" w:hAnsi="仿宋_GB2312" w:eastAsia="仿宋_GB2312" w:cs="仿宋_GB2312"/>
          <w:color w:val="auto"/>
          <w:spacing w:val="8"/>
          <w:sz w:val="32"/>
          <w:szCs w:val="32"/>
          <w:lang w:eastAsia="zh-CN"/>
        </w:rPr>
        <w:t>%；</w:t>
      </w:r>
    </w:p>
    <w:p w14:paraId="2B236993">
      <w:pPr>
        <w:keepNext w:val="0"/>
        <w:keepLines w:val="0"/>
        <w:pageBreakBefore w:val="0"/>
        <w:widowControl w:val="0"/>
        <w:kinsoku/>
        <w:wordWrap w:val="0"/>
        <w:overflowPunct/>
        <w:topLinePunct w:val="0"/>
        <w:autoSpaceDE/>
        <w:autoSpaceDN/>
        <w:bidi w:val="0"/>
        <w:adjustRightInd w:val="0"/>
        <w:snapToGrid w:val="0"/>
        <w:spacing w:line="560" w:lineRule="exact"/>
        <w:ind w:left="0" w:leftChars="0" w:right="0" w:rightChars="0" w:firstLine="672" w:firstLineChars="200"/>
        <w:textAlignment w:val="baseline"/>
        <w:outlineLvl w:val="9"/>
        <w:rPr>
          <w:rFonts w:hint="eastAsia" w:ascii="仿宋_GB2312" w:hAnsi="仿宋_GB2312" w:eastAsia="仿宋_GB2312" w:cs="仿宋_GB2312"/>
          <w:color w:val="auto"/>
          <w:spacing w:val="8"/>
          <w:sz w:val="32"/>
          <w:szCs w:val="32"/>
          <w:lang w:eastAsia="zh-CN"/>
        </w:rPr>
      </w:pPr>
      <w:r>
        <w:rPr>
          <w:rFonts w:hint="eastAsia" w:ascii="仿宋_GB2312" w:hAnsi="仿宋_GB2312" w:eastAsia="仿宋_GB2312" w:cs="仿宋_GB2312"/>
          <w:color w:val="auto"/>
          <w:spacing w:val="8"/>
          <w:sz w:val="32"/>
          <w:szCs w:val="32"/>
          <w:lang w:eastAsia="zh-CN"/>
        </w:rPr>
        <w:t>工程垃圾：2025—2030年（产业园区与新建项目集中期）增速</w:t>
      </w:r>
      <w:r>
        <w:rPr>
          <w:rFonts w:hint="eastAsia" w:ascii="仿宋_GB2312" w:hAnsi="仿宋_GB2312" w:eastAsia="仿宋_GB2312" w:cs="仿宋_GB2312"/>
          <w:color w:val="auto"/>
          <w:spacing w:val="8"/>
          <w:sz w:val="32"/>
          <w:szCs w:val="32"/>
          <w:lang w:val="en-US" w:eastAsia="zh-CN"/>
        </w:rPr>
        <w:t>约</w:t>
      </w:r>
      <w:r>
        <w:rPr>
          <w:rFonts w:hint="eastAsia" w:ascii="仿宋_GB2312" w:hAnsi="仿宋_GB2312" w:eastAsia="仿宋_GB2312" w:cs="仿宋_GB2312"/>
          <w:color w:val="auto"/>
          <w:spacing w:val="8"/>
          <w:sz w:val="32"/>
          <w:szCs w:val="32"/>
          <w:lang w:eastAsia="zh-CN"/>
        </w:rPr>
        <w:t>3%，2031—2035年（新增建筑面积下降）增速</w:t>
      </w:r>
      <w:r>
        <w:rPr>
          <w:rFonts w:hint="eastAsia" w:ascii="仿宋_GB2312" w:hAnsi="仿宋_GB2312" w:eastAsia="仿宋_GB2312" w:cs="仿宋_GB2312"/>
          <w:color w:val="auto"/>
          <w:spacing w:val="8"/>
          <w:sz w:val="32"/>
          <w:szCs w:val="32"/>
          <w:lang w:val="en-US" w:eastAsia="zh-CN"/>
        </w:rPr>
        <w:t>约-3</w:t>
      </w:r>
      <w:r>
        <w:rPr>
          <w:rFonts w:hint="eastAsia" w:ascii="仿宋_GB2312" w:hAnsi="仿宋_GB2312" w:eastAsia="仿宋_GB2312" w:cs="仿宋_GB2312"/>
          <w:color w:val="auto"/>
          <w:spacing w:val="8"/>
          <w:sz w:val="32"/>
          <w:szCs w:val="32"/>
          <w:lang w:eastAsia="zh-CN"/>
        </w:rPr>
        <w:t>%；</w:t>
      </w:r>
    </w:p>
    <w:p w14:paraId="1395352A">
      <w:pPr>
        <w:keepNext w:val="0"/>
        <w:keepLines w:val="0"/>
        <w:pageBreakBefore w:val="0"/>
        <w:widowControl w:val="0"/>
        <w:kinsoku/>
        <w:wordWrap w:val="0"/>
        <w:overflowPunct/>
        <w:topLinePunct w:val="0"/>
        <w:autoSpaceDE/>
        <w:autoSpaceDN/>
        <w:bidi w:val="0"/>
        <w:adjustRightInd w:val="0"/>
        <w:snapToGrid w:val="0"/>
        <w:spacing w:line="560" w:lineRule="exact"/>
        <w:ind w:left="0" w:leftChars="0" w:right="0" w:rightChars="0" w:firstLine="672" w:firstLineChars="200"/>
        <w:textAlignment w:val="baseline"/>
        <w:outlineLvl w:val="9"/>
        <w:rPr>
          <w:rFonts w:hint="eastAsia" w:ascii="仿宋_GB2312" w:hAnsi="仿宋_GB2312" w:eastAsia="仿宋_GB2312" w:cs="仿宋_GB2312"/>
          <w:color w:val="auto"/>
          <w:spacing w:val="8"/>
          <w:sz w:val="32"/>
          <w:szCs w:val="32"/>
          <w:lang w:eastAsia="zh-CN"/>
        </w:rPr>
      </w:pPr>
      <w:r>
        <w:rPr>
          <w:rFonts w:hint="eastAsia" w:ascii="仿宋_GB2312" w:hAnsi="仿宋_GB2312" w:eastAsia="仿宋_GB2312" w:cs="仿宋_GB2312"/>
          <w:color w:val="auto"/>
          <w:spacing w:val="8"/>
          <w:sz w:val="32"/>
          <w:szCs w:val="32"/>
          <w:lang w:eastAsia="zh-CN"/>
        </w:rPr>
        <w:t>拆迁垃圾：2025—2030年（50个老旧小区改造）增速</w:t>
      </w:r>
      <w:r>
        <w:rPr>
          <w:rFonts w:hint="eastAsia" w:ascii="仿宋_GB2312" w:hAnsi="仿宋_GB2312" w:eastAsia="仿宋_GB2312" w:cs="仿宋_GB2312"/>
          <w:color w:val="auto"/>
          <w:spacing w:val="8"/>
          <w:sz w:val="32"/>
          <w:szCs w:val="32"/>
          <w:lang w:val="en-US" w:eastAsia="zh-CN"/>
        </w:rPr>
        <w:t>约</w:t>
      </w:r>
      <w:r>
        <w:rPr>
          <w:rFonts w:hint="eastAsia" w:ascii="仿宋_GB2312" w:hAnsi="仿宋_GB2312" w:eastAsia="仿宋_GB2312" w:cs="仿宋_GB2312"/>
          <w:color w:val="auto"/>
          <w:spacing w:val="8"/>
          <w:sz w:val="32"/>
          <w:szCs w:val="32"/>
          <w:lang w:eastAsia="zh-CN"/>
        </w:rPr>
        <w:t>8%，2031—2035年（30个老旧小区改造）增速</w:t>
      </w:r>
      <w:r>
        <w:rPr>
          <w:rFonts w:hint="eastAsia" w:ascii="仿宋_GB2312" w:hAnsi="仿宋_GB2312" w:eastAsia="仿宋_GB2312" w:cs="仿宋_GB2312"/>
          <w:color w:val="auto"/>
          <w:spacing w:val="8"/>
          <w:sz w:val="32"/>
          <w:szCs w:val="32"/>
          <w:lang w:val="en-US" w:eastAsia="zh-CN"/>
        </w:rPr>
        <w:t>约-4</w:t>
      </w:r>
      <w:r>
        <w:rPr>
          <w:rFonts w:hint="eastAsia" w:ascii="仿宋_GB2312" w:hAnsi="仿宋_GB2312" w:eastAsia="仿宋_GB2312" w:cs="仿宋_GB2312"/>
          <w:color w:val="auto"/>
          <w:spacing w:val="8"/>
          <w:sz w:val="32"/>
          <w:szCs w:val="32"/>
          <w:lang w:eastAsia="zh-CN"/>
        </w:rPr>
        <w:t>%；</w:t>
      </w:r>
    </w:p>
    <w:p w14:paraId="23EF317E">
      <w:pPr>
        <w:keepNext w:val="0"/>
        <w:keepLines w:val="0"/>
        <w:pageBreakBefore w:val="0"/>
        <w:widowControl w:val="0"/>
        <w:kinsoku/>
        <w:wordWrap w:val="0"/>
        <w:overflowPunct/>
        <w:topLinePunct w:val="0"/>
        <w:autoSpaceDE/>
        <w:autoSpaceDN/>
        <w:bidi w:val="0"/>
        <w:adjustRightInd w:val="0"/>
        <w:snapToGrid w:val="0"/>
        <w:spacing w:line="560" w:lineRule="exact"/>
        <w:ind w:left="0" w:leftChars="0" w:right="0" w:rightChars="0" w:firstLine="672" w:firstLineChars="200"/>
        <w:textAlignment w:val="baseline"/>
        <w:outlineLvl w:val="9"/>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color w:val="auto"/>
          <w:spacing w:val="8"/>
          <w:sz w:val="32"/>
          <w:szCs w:val="32"/>
          <w:lang w:eastAsia="zh-CN"/>
        </w:rPr>
        <w:t>装修垃圾：随城镇化率</w:t>
      </w:r>
      <w:r>
        <w:rPr>
          <w:rFonts w:hint="eastAsia" w:ascii="仿宋_GB2312" w:hAnsi="仿宋_GB2312" w:eastAsia="仿宋_GB2312" w:cs="仿宋_GB2312"/>
          <w:color w:val="auto"/>
          <w:spacing w:val="8"/>
          <w:sz w:val="32"/>
          <w:szCs w:val="32"/>
          <w:lang w:val="en-US" w:eastAsia="zh-CN"/>
        </w:rPr>
        <w:t>增速放缓</w:t>
      </w:r>
      <w:r>
        <w:rPr>
          <w:rFonts w:hint="eastAsia" w:ascii="仿宋_GB2312" w:hAnsi="仿宋_GB2312" w:eastAsia="仿宋_GB2312" w:cs="仿宋_GB2312"/>
          <w:color w:val="auto"/>
          <w:spacing w:val="8"/>
          <w:sz w:val="32"/>
          <w:szCs w:val="32"/>
          <w:lang w:eastAsia="zh-CN"/>
        </w:rPr>
        <w:t>（2024年58.57%→2030年63.37%→2035年65.87%），增速从3%逐步降至2%</w:t>
      </w:r>
      <w:r>
        <w:rPr>
          <w:rFonts w:hint="eastAsia" w:ascii="仿宋_GB2312" w:hAnsi="仿宋_GB2312" w:eastAsia="仿宋_GB2312" w:cs="仿宋_GB2312"/>
          <w:color w:val="auto"/>
          <w:spacing w:val="8"/>
          <w:sz w:val="32"/>
          <w:szCs w:val="32"/>
          <w:lang w:val="en-US" w:eastAsia="zh-CN"/>
        </w:rPr>
        <w:t>.</w:t>
      </w:r>
    </w:p>
    <w:p w14:paraId="645A7231">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128" w:name="_Toc2770"/>
      <w:r>
        <w:rPr>
          <w:rFonts w:hint="eastAsia" w:ascii="楷体_GB2312" w:hAnsi="楷体_GB2312" w:eastAsia="楷体_GB2312" w:cs="楷体_GB2312"/>
          <w:b/>
          <w:bCs/>
          <w:color w:val="auto"/>
          <w:spacing w:val="8"/>
          <w:sz w:val="32"/>
          <w:szCs w:val="32"/>
          <w:lang w:eastAsia="zh-CN"/>
        </w:rPr>
        <w:t>（</w:t>
      </w:r>
      <w:r>
        <w:rPr>
          <w:rFonts w:hint="eastAsia" w:ascii="楷体_GB2312" w:hAnsi="楷体_GB2312" w:eastAsia="楷体_GB2312" w:cs="楷体_GB2312"/>
          <w:b/>
          <w:bCs/>
          <w:color w:val="auto"/>
          <w:spacing w:val="8"/>
          <w:sz w:val="32"/>
          <w:szCs w:val="32"/>
          <w:lang w:val="en-US" w:eastAsia="zh-CN"/>
        </w:rPr>
        <w:t>二）预测结果​</w:t>
      </w:r>
      <w:bookmarkEnd w:id="126"/>
      <w:bookmarkEnd w:id="127"/>
      <w:bookmarkEnd w:id="128"/>
    </w:p>
    <w:p w14:paraId="6CCA7349">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2" w:firstLineChars="200"/>
        <w:textAlignment w:val="baseline"/>
        <w:rPr>
          <w:rFonts w:hint="eastAsia"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color w:val="auto"/>
          <w:spacing w:val="8"/>
          <w:sz w:val="32"/>
          <w:szCs w:val="32"/>
          <w:lang w:eastAsia="zh-CN"/>
        </w:rPr>
        <w:t>基于上述依据，甘州区2025—2035年建筑垃圾产生量预测如下表所示</w:t>
      </w:r>
      <w:r>
        <w:rPr>
          <w:rFonts w:hint="eastAsia" w:ascii="仿宋_GB2312" w:hAnsi="仿宋_GB2312" w:eastAsia="仿宋_GB2312" w:cs="仿宋_GB2312"/>
          <w:b w:val="0"/>
          <w:bCs w:val="0"/>
          <w:color w:val="auto"/>
          <w:spacing w:val="8"/>
          <w:sz w:val="32"/>
          <w:szCs w:val="32"/>
          <w:lang w:val="en-US" w:eastAsia="zh-CN"/>
        </w:rPr>
        <w:t>。</w:t>
      </w: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600"/>
        <w:gridCol w:w="1600"/>
        <w:gridCol w:w="1600"/>
        <w:gridCol w:w="1600"/>
        <w:gridCol w:w="1600"/>
        <w:gridCol w:w="1628"/>
      </w:tblGrid>
      <w:tr w14:paraId="30631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5" w:hRule="atLeast"/>
        </w:trPr>
        <w:tc>
          <w:tcPr>
            <w:tcW w:w="5000" w:type="pct"/>
            <w:gridSpan w:val="6"/>
            <w:tcBorders>
              <w:top w:val="nil"/>
              <w:left w:val="nil"/>
              <w:bottom w:val="single" w:color="auto" w:sz="4" w:space="0"/>
              <w:right w:val="nil"/>
            </w:tcBorders>
            <w:shd w:val="clear" w:color="auto" w:fill="auto"/>
            <w:noWrap/>
            <w:vAlign w:val="center"/>
          </w:tcPr>
          <w:p w14:paraId="13887E20">
            <w:pPr>
              <w:keepNext w:val="0"/>
              <w:keepLines w:val="0"/>
              <w:widowControl/>
              <w:suppressLineNumbers w:val="0"/>
              <w:jc w:val="center"/>
              <w:textAlignment w:val="center"/>
              <w:rPr>
                <w:rFonts w:hint="default" w:ascii="仿宋_GB2312" w:hAnsi="宋体" w:eastAsia="仿宋_GB2312" w:cs="仿宋_GB2312"/>
                <w:i w:val="0"/>
                <w:iCs w:val="0"/>
                <w:color w:val="000000"/>
                <w:sz w:val="30"/>
                <w:szCs w:val="30"/>
                <w:u w:val="none"/>
                <w:lang w:val="en-US"/>
              </w:rPr>
            </w:pPr>
            <w:r>
              <w:rPr>
                <w:rFonts w:hint="eastAsia" w:ascii="仿宋_GB2312" w:hAnsi="仿宋_GB2312" w:eastAsia="仿宋_GB2312" w:cs="仿宋_GB2312"/>
                <w:i w:val="0"/>
                <w:iCs w:val="0"/>
                <w:snapToGrid w:val="0"/>
                <w:color w:val="auto"/>
                <w:kern w:val="0"/>
                <w:sz w:val="30"/>
                <w:szCs w:val="30"/>
                <w:u w:val="none"/>
                <w:lang w:val="en-US" w:eastAsia="zh-CN" w:bidi="ar"/>
              </w:rPr>
              <w:t>表2-3 建筑垃圾产生量预测（单位：万吨）</w:t>
            </w:r>
          </w:p>
        </w:tc>
      </w:tr>
      <w:tr w14:paraId="178EDF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51A625B7">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lang w:eastAsia="zh-CN" w:bidi="ar"/>
              </w:rPr>
            </w:pPr>
            <w:r>
              <w:rPr>
                <w:rFonts w:hint="eastAsia" w:ascii="仿宋_GB2312" w:hAnsi="仿宋_GB2312" w:eastAsia="仿宋_GB2312" w:cs="仿宋_GB2312"/>
                <w:b/>
                <w:bCs/>
                <w:i w:val="0"/>
                <w:iCs w:val="0"/>
                <w:snapToGrid w:val="0"/>
                <w:color w:val="000000"/>
                <w:kern w:val="0"/>
                <w:sz w:val="24"/>
                <w:szCs w:val="24"/>
                <w:u w:val="none"/>
                <w:lang w:val="en-US" w:eastAsia="zh-CN" w:bidi="ar"/>
              </w:rPr>
              <w:t>年份</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028B6E3A">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lang w:eastAsia="zh-CN" w:bidi="ar"/>
              </w:rPr>
            </w:pPr>
            <w:r>
              <w:rPr>
                <w:rFonts w:hint="eastAsia" w:ascii="仿宋_GB2312" w:hAnsi="仿宋_GB2312" w:eastAsia="仿宋_GB2312" w:cs="仿宋_GB2312"/>
                <w:b/>
                <w:bCs/>
                <w:i w:val="0"/>
                <w:iCs w:val="0"/>
                <w:snapToGrid w:val="0"/>
                <w:color w:val="000000"/>
                <w:kern w:val="0"/>
                <w:sz w:val="24"/>
                <w:szCs w:val="24"/>
                <w:u w:val="none"/>
                <w:lang w:val="en-US" w:eastAsia="zh-CN" w:bidi="ar"/>
              </w:rPr>
              <w:t>工程渣土产生量</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446AE72A">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lang w:eastAsia="zh-CN" w:bidi="ar"/>
              </w:rPr>
            </w:pPr>
            <w:r>
              <w:rPr>
                <w:rFonts w:hint="eastAsia" w:ascii="仿宋_GB2312" w:hAnsi="仿宋_GB2312" w:eastAsia="仿宋_GB2312" w:cs="仿宋_GB2312"/>
                <w:b/>
                <w:bCs/>
                <w:i w:val="0"/>
                <w:iCs w:val="0"/>
                <w:snapToGrid w:val="0"/>
                <w:color w:val="000000"/>
                <w:kern w:val="0"/>
                <w:sz w:val="24"/>
                <w:szCs w:val="24"/>
                <w:u w:val="none"/>
                <w:lang w:val="en-US" w:eastAsia="zh-CN" w:bidi="ar"/>
              </w:rPr>
              <w:t>工程垃圾产生量</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336CF885">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lang w:eastAsia="zh-CN" w:bidi="ar"/>
              </w:rPr>
            </w:pPr>
            <w:r>
              <w:rPr>
                <w:rFonts w:hint="eastAsia" w:ascii="仿宋_GB2312" w:hAnsi="仿宋_GB2312" w:eastAsia="仿宋_GB2312" w:cs="仿宋_GB2312"/>
                <w:b/>
                <w:bCs/>
                <w:i w:val="0"/>
                <w:iCs w:val="0"/>
                <w:snapToGrid w:val="0"/>
                <w:color w:val="000000"/>
                <w:kern w:val="0"/>
                <w:sz w:val="24"/>
                <w:szCs w:val="24"/>
                <w:u w:val="none"/>
                <w:lang w:val="en-US" w:eastAsia="zh-CN" w:bidi="ar"/>
              </w:rPr>
              <w:t>拆迁垃圾产生量</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562DD979">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lang w:eastAsia="zh-CN" w:bidi="ar"/>
              </w:rPr>
            </w:pPr>
            <w:r>
              <w:rPr>
                <w:rFonts w:hint="eastAsia" w:ascii="仿宋_GB2312" w:hAnsi="仿宋_GB2312" w:eastAsia="仿宋_GB2312" w:cs="仿宋_GB2312"/>
                <w:b/>
                <w:bCs/>
                <w:i w:val="0"/>
                <w:iCs w:val="0"/>
                <w:snapToGrid w:val="0"/>
                <w:color w:val="000000"/>
                <w:kern w:val="0"/>
                <w:sz w:val="24"/>
                <w:szCs w:val="24"/>
                <w:u w:val="none"/>
                <w:lang w:val="en-US" w:eastAsia="zh-CN" w:bidi="ar"/>
              </w:rPr>
              <w:t>装修垃圾产生量</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1DE681D3">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4"/>
                <w:szCs w:val="24"/>
                <w:u w:val="none"/>
                <w:lang w:eastAsia="zh-CN" w:bidi="ar"/>
              </w:rPr>
            </w:pPr>
            <w:r>
              <w:rPr>
                <w:rFonts w:hint="eastAsia" w:ascii="仿宋_GB2312" w:hAnsi="仿宋_GB2312" w:eastAsia="仿宋_GB2312" w:cs="仿宋_GB2312"/>
                <w:b/>
                <w:bCs/>
                <w:i w:val="0"/>
                <w:iCs w:val="0"/>
                <w:snapToGrid w:val="0"/>
                <w:color w:val="000000"/>
                <w:kern w:val="0"/>
                <w:sz w:val="24"/>
                <w:szCs w:val="24"/>
                <w:u w:val="none"/>
                <w:lang w:val="en-US" w:eastAsia="zh-CN" w:bidi="ar"/>
              </w:rPr>
              <w:t>合计</w:t>
            </w:r>
          </w:p>
        </w:tc>
      </w:tr>
      <w:tr w14:paraId="4F9C53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37ED06BF">
            <w:pPr>
              <w:keepNext w:val="0"/>
              <w:keepLines w:val="0"/>
              <w:widowControl/>
              <w:suppressLineNumbers w:val="0"/>
              <w:jc w:val="center"/>
              <w:textAlignment w:val="center"/>
              <w:rPr>
                <w:rFonts w:hint="eastAsia" w:ascii="仿宋_GB2312" w:hAnsi="仿宋_GB2312" w:eastAsia="仿宋_GB2312" w:cs="仿宋_GB2312"/>
                <w:i w:val="0"/>
                <w:iCs w:val="0"/>
                <w:snapToGrid w:val="0"/>
                <w:color w:val="000000"/>
                <w:kern w:val="0"/>
                <w:sz w:val="24"/>
                <w:szCs w:val="24"/>
                <w:u w:val="none"/>
                <w:lang w:val="en-US"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2024</w:t>
            </w:r>
          </w:p>
          <w:p w14:paraId="199C93D9">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（基准）</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650C2148">
            <w:pPr>
              <w:keepNext w:val="0"/>
              <w:keepLines w:val="0"/>
              <w:widowControl/>
              <w:suppressLineNumbers w:val="0"/>
              <w:jc w:val="center"/>
              <w:textAlignment w:val="center"/>
              <w:rPr>
                <w:rFonts w:hint="default"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27.00</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08BB4F05">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1.65</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77BEDFB7">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8.25</w:t>
            </w:r>
          </w:p>
        </w:tc>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1CD40987">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1.72</w:t>
            </w:r>
          </w:p>
        </w:tc>
        <w:tc>
          <w:tcPr>
            <w:tcW w:w="840" w:type="pct"/>
            <w:tcBorders>
              <w:top w:val="single" w:color="auto" w:sz="4" w:space="0"/>
              <w:left w:val="single" w:color="auto" w:sz="4" w:space="0"/>
              <w:bottom w:val="single" w:color="auto" w:sz="4" w:space="0"/>
              <w:right w:val="single" w:color="auto" w:sz="4" w:space="0"/>
            </w:tcBorders>
            <w:shd w:val="clear" w:color="auto" w:fill="auto"/>
            <w:vAlign w:val="center"/>
          </w:tcPr>
          <w:p w14:paraId="6BCDD5D1">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38.62</w:t>
            </w:r>
          </w:p>
        </w:tc>
      </w:tr>
      <w:tr w14:paraId="4B663F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589CF2F0">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2025</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099975ED">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28.60</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5C4D59BD">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1.71</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37BC5F23">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8.91</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1B96931E">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1.77</w:t>
            </w:r>
          </w:p>
        </w:tc>
        <w:tc>
          <w:tcPr>
            <w:tcW w:w="1628" w:type="dxa"/>
            <w:tcBorders>
              <w:top w:val="single" w:color="auto" w:sz="4" w:space="0"/>
              <w:left w:val="single" w:color="auto" w:sz="4" w:space="0"/>
              <w:bottom w:val="single" w:color="auto" w:sz="4" w:space="0"/>
              <w:right w:val="single" w:color="auto" w:sz="4" w:space="0"/>
            </w:tcBorders>
            <w:shd w:val="clear" w:color="auto" w:fill="auto"/>
            <w:vAlign w:val="center"/>
          </w:tcPr>
          <w:p w14:paraId="277E3C35">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41.00</w:t>
            </w:r>
          </w:p>
        </w:tc>
      </w:tr>
      <w:tr w14:paraId="4015F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468D5B49">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2026</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410DC67E">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30.30</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790EA5E8">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1.77</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435F8D10">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9.62</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5BB4662C">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1.83</w:t>
            </w:r>
          </w:p>
        </w:tc>
        <w:tc>
          <w:tcPr>
            <w:tcW w:w="1628" w:type="dxa"/>
            <w:tcBorders>
              <w:top w:val="single" w:color="auto" w:sz="4" w:space="0"/>
              <w:left w:val="single" w:color="auto" w:sz="4" w:space="0"/>
              <w:bottom w:val="single" w:color="auto" w:sz="4" w:space="0"/>
              <w:right w:val="single" w:color="auto" w:sz="4" w:space="0"/>
            </w:tcBorders>
            <w:shd w:val="clear" w:color="auto" w:fill="auto"/>
            <w:vAlign w:val="center"/>
          </w:tcPr>
          <w:p w14:paraId="202F2D20">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43.52</w:t>
            </w:r>
          </w:p>
        </w:tc>
      </w:tr>
      <w:tr w14:paraId="13E3CB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32E1FB9C">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2027</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4E6397F5">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32.10</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7B314B00">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1.83</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7E27FAE3">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10.39</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5982ADB8">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1.88</w:t>
            </w:r>
          </w:p>
        </w:tc>
        <w:tc>
          <w:tcPr>
            <w:tcW w:w="1628" w:type="dxa"/>
            <w:tcBorders>
              <w:top w:val="single" w:color="auto" w:sz="4" w:space="0"/>
              <w:left w:val="single" w:color="auto" w:sz="4" w:space="0"/>
              <w:bottom w:val="single" w:color="auto" w:sz="4" w:space="0"/>
              <w:right w:val="single" w:color="auto" w:sz="4" w:space="0"/>
            </w:tcBorders>
            <w:shd w:val="clear" w:color="auto" w:fill="auto"/>
            <w:vAlign w:val="center"/>
          </w:tcPr>
          <w:p w14:paraId="4B84DE7A">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46.20</w:t>
            </w:r>
          </w:p>
        </w:tc>
      </w:tr>
      <w:tr w14:paraId="6FBDAA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684174C4">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2028</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08EBFD5D">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34.00</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63F991BD">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1.89</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015AEF7E">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11.22</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3C3C5FE1">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1.94</w:t>
            </w:r>
          </w:p>
        </w:tc>
        <w:tc>
          <w:tcPr>
            <w:tcW w:w="1628" w:type="dxa"/>
            <w:tcBorders>
              <w:top w:val="single" w:color="auto" w:sz="4" w:space="0"/>
              <w:left w:val="single" w:color="auto" w:sz="4" w:space="0"/>
              <w:bottom w:val="single" w:color="auto" w:sz="4" w:space="0"/>
              <w:right w:val="single" w:color="auto" w:sz="4" w:space="0"/>
            </w:tcBorders>
            <w:shd w:val="clear" w:color="auto" w:fill="auto"/>
            <w:vAlign w:val="center"/>
          </w:tcPr>
          <w:p w14:paraId="683AF82F">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49.05</w:t>
            </w:r>
          </w:p>
        </w:tc>
      </w:tr>
      <w:tr w14:paraId="14911C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5F84043A">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2029</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66FB2462">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36.00</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2E05A1AA">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1.95</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6A55F702">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12.12</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21D91982">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1.99</w:t>
            </w:r>
          </w:p>
        </w:tc>
        <w:tc>
          <w:tcPr>
            <w:tcW w:w="1628" w:type="dxa"/>
            <w:tcBorders>
              <w:top w:val="single" w:color="auto" w:sz="4" w:space="0"/>
              <w:left w:val="single" w:color="auto" w:sz="4" w:space="0"/>
              <w:bottom w:val="single" w:color="auto" w:sz="4" w:space="0"/>
              <w:right w:val="single" w:color="auto" w:sz="4" w:space="0"/>
            </w:tcBorders>
            <w:shd w:val="clear" w:color="auto" w:fill="auto"/>
            <w:vAlign w:val="center"/>
          </w:tcPr>
          <w:p w14:paraId="7A476003">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52.06</w:t>
            </w:r>
          </w:p>
        </w:tc>
      </w:tr>
      <w:tr w14:paraId="2FD1C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7B0770F1">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2030</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0BEBDD2F">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37.20</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32E5D2F4">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1.98</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3059A037">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12.35</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0C81AA0E">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2.03</w:t>
            </w:r>
          </w:p>
        </w:tc>
        <w:tc>
          <w:tcPr>
            <w:tcW w:w="1628" w:type="dxa"/>
            <w:tcBorders>
              <w:top w:val="single" w:color="auto" w:sz="4" w:space="0"/>
              <w:left w:val="single" w:color="auto" w:sz="4" w:space="0"/>
              <w:bottom w:val="single" w:color="auto" w:sz="4" w:space="0"/>
              <w:right w:val="single" w:color="auto" w:sz="4" w:space="0"/>
            </w:tcBorders>
            <w:shd w:val="clear" w:color="auto" w:fill="auto"/>
            <w:vAlign w:val="center"/>
          </w:tcPr>
          <w:p w14:paraId="762F8617">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53.56</w:t>
            </w:r>
          </w:p>
        </w:tc>
      </w:tr>
      <w:tr w14:paraId="43F56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7063A320">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2031</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04486A22">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38.00</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1F4EE945">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2.00</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50C3ED87">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12.60</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0BA56D20">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2.08</w:t>
            </w:r>
          </w:p>
        </w:tc>
        <w:tc>
          <w:tcPr>
            <w:tcW w:w="1628" w:type="dxa"/>
            <w:tcBorders>
              <w:top w:val="single" w:color="auto" w:sz="4" w:space="0"/>
              <w:left w:val="single" w:color="auto" w:sz="4" w:space="0"/>
              <w:bottom w:val="single" w:color="auto" w:sz="4" w:space="0"/>
              <w:right w:val="single" w:color="auto" w:sz="4" w:space="0"/>
            </w:tcBorders>
            <w:shd w:val="clear" w:color="auto" w:fill="auto"/>
            <w:vAlign w:val="center"/>
          </w:tcPr>
          <w:p w14:paraId="559A7AEC">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54.68</w:t>
            </w:r>
          </w:p>
        </w:tc>
      </w:tr>
      <w:tr w14:paraId="680B87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641DB2A1">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2032</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6E58BB1F">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37.50</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3BF1CE84">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1.90</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0B65B8E2">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11.80</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233BC781">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2.13</w:t>
            </w:r>
          </w:p>
        </w:tc>
        <w:tc>
          <w:tcPr>
            <w:tcW w:w="1628" w:type="dxa"/>
            <w:tcBorders>
              <w:top w:val="single" w:color="auto" w:sz="4" w:space="0"/>
              <w:left w:val="single" w:color="auto" w:sz="4" w:space="0"/>
              <w:bottom w:val="single" w:color="auto" w:sz="4" w:space="0"/>
              <w:right w:val="single" w:color="auto" w:sz="4" w:space="0"/>
            </w:tcBorders>
            <w:shd w:val="clear" w:color="auto" w:fill="auto"/>
            <w:vAlign w:val="center"/>
          </w:tcPr>
          <w:p w14:paraId="5873F035">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53.33</w:t>
            </w:r>
          </w:p>
        </w:tc>
      </w:tr>
      <w:tr w14:paraId="7D5A83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3720B477">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2033</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38B85881">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37.00</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3AB68902">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1.80</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6513ED04">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11.00</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4027C924">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2.18</w:t>
            </w:r>
          </w:p>
        </w:tc>
        <w:tc>
          <w:tcPr>
            <w:tcW w:w="1628" w:type="dxa"/>
            <w:tcBorders>
              <w:top w:val="single" w:color="auto" w:sz="4" w:space="0"/>
              <w:left w:val="single" w:color="auto" w:sz="4" w:space="0"/>
              <w:bottom w:val="single" w:color="auto" w:sz="4" w:space="0"/>
              <w:right w:val="single" w:color="auto" w:sz="4" w:space="0"/>
            </w:tcBorders>
            <w:shd w:val="clear" w:color="auto" w:fill="auto"/>
            <w:vAlign w:val="center"/>
          </w:tcPr>
          <w:p w14:paraId="305848B4">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51.98</w:t>
            </w:r>
          </w:p>
        </w:tc>
      </w:tr>
      <w:tr w14:paraId="7DC7C3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7" w:hRule="atLeast"/>
        </w:trPr>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722F45A4">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2034</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7A904E42">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36.50</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21B0674A">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1.70</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3308FE18">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10.20</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2249EE1F">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2.23</w:t>
            </w:r>
          </w:p>
        </w:tc>
        <w:tc>
          <w:tcPr>
            <w:tcW w:w="1628" w:type="dxa"/>
            <w:tcBorders>
              <w:top w:val="single" w:color="auto" w:sz="4" w:space="0"/>
              <w:left w:val="single" w:color="auto" w:sz="4" w:space="0"/>
              <w:bottom w:val="single" w:color="auto" w:sz="4" w:space="0"/>
              <w:right w:val="single" w:color="auto" w:sz="4" w:space="0"/>
            </w:tcBorders>
            <w:shd w:val="clear" w:color="auto" w:fill="auto"/>
            <w:vAlign w:val="center"/>
          </w:tcPr>
          <w:p w14:paraId="3C35C82C">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50.63</w:t>
            </w:r>
          </w:p>
        </w:tc>
      </w:tr>
      <w:tr w14:paraId="0443F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831" w:type="pct"/>
            <w:tcBorders>
              <w:top w:val="single" w:color="auto" w:sz="4" w:space="0"/>
              <w:left w:val="single" w:color="auto" w:sz="4" w:space="0"/>
              <w:bottom w:val="single" w:color="auto" w:sz="4" w:space="0"/>
              <w:right w:val="single" w:color="auto" w:sz="4" w:space="0"/>
            </w:tcBorders>
            <w:shd w:val="clear" w:color="auto" w:fill="auto"/>
            <w:vAlign w:val="center"/>
          </w:tcPr>
          <w:p w14:paraId="62BBBA5D">
            <w:pPr>
              <w:keepNext w:val="0"/>
              <w:keepLines w:val="0"/>
              <w:widowControl/>
              <w:suppressLineNumbers w:val="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snapToGrid w:val="0"/>
                <w:color w:val="000000"/>
                <w:kern w:val="0"/>
                <w:sz w:val="24"/>
                <w:szCs w:val="24"/>
                <w:u w:val="none"/>
                <w:lang w:val="en-US" w:eastAsia="zh-CN" w:bidi="ar"/>
              </w:rPr>
              <w:t>2035</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3E1911F1">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36.00</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1D44820F">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1.60</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48690575">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9.40</w:t>
            </w:r>
          </w:p>
        </w:tc>
        <w:tc>
          <w:tcPr>
            <w:tcW w:w="1600" w:type="dxa"/>
            <w:tcBorders>
              <w:top w:val="single" w:color="auto" w:sz="4" w:space="0"/>
              <w:left w:val="single" w:color="auto" w:sz="4" w:space="0"/>
              <w:bottom w:val="single" w:color="auto" w:sz="4" w:space="0"/>
              <w:right w:val="single" w:color="auto" w:sz="4" w:space="0"/>
            </w:tcBorders>
            <w:shd w:val="clear" w:color="auto" w:fill="auto"/>
            <w:vAlign w:val="center"/>
          </w:tcPr>
          <w:p w14:paraId="143C6297">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2.28</w:t>
            </w:r>
          </w:p>
        </w:tc>
        <w:tc>
          <w:tcPr>
            <w:tcW w:w="1628" w:type="dxa"/>
            <w:tcBorders>
              <w:top w:val="single" w:color="auto" w:sz="4" w:space="0"/>
              <w:left w:val="single" w:color="auto" w:sz="4" w:space="0"/>
              <w:bottom w:val="single" w:color="auto" w:sz="4" w:space="0"/>
              <w:right w:val="single" w:color="auto" w:sz="4" w:space="0"/>
            </w:tcBorders>
            <w:shd w:val="clear" w:color="auto" w:fill="auto"/>
            <w:vAlign w:val="center"/>
          </w:tcPr>
          <w:p w14:paraId="2D787D06">
            <w:pPr>
              <w:keepNext w:val="0"/>
              <w:keepLines w:val="0"/>
              <w:widowControl/>
              <w:suppressLineNumbers w:val="0"/>
              <w:spacing w:before="0" w:beforeAutospacing="0" w:after="0" w:afterAutospacing="0"/>
              <w:ind w:left="0" w:leftChars="0" w:right="0" w:rightChars="0" w:firstLine="0" w:firstLineChars="0"/>
              <w:jc w:val="center"/>
              <w:textAlignment w:val="center"/>
              <w:rPr>
                <w:rFonts w:hint="eastAsia" w:ascii="仿宋_GB2312" w:hAnsi="仿宋_GB2312" w:eastAsia="仿宋_GB2312" w:cs="仿宋_GB2312"/>
                <w:i w:val="0"/>
                <w:iCs w:val="0"/>
                <w:color w:val="000000"/>
                <w:sz w:val="24"/>
                <w:szCs w:val="24"/>
                <w:u w:val="none"/>
                <w:lang w:eastAsia="zh-CN" w:bidi="ar"/>
              </w:rPr>
            </w:pPr>
            <w:r>
              <w:rPr>
                <w:rFonts w:hint="eastAsia" w:ascii="仿宋_GB2312" w:hAnsi="仿宋_GB2312" w:eastAsia="仿宋_GB2312" w:cs="仿宋_GB2312"/>
                <w:i w:val="0"/>
                <w:iCs w:val="0"/>
                <w:caps w:val="0"/>
                <w:snapToGrid w:val="0"/>
                <w:color w:val="000000"/>
                <w:spacing w:val="0"/>
                <w:kern w:val="0"/>
                <w:sz w:val="24"/>
                <w:szCs w:val="24"/>
                <w:u w:val="none"/>
                <w:lang w:val="en-US" w:eastAsia="zh-CN" w:bidi="ar"/>
              </w:rPr>
              <w:t>49.28</w:t>
            </w:r>
          </w:p>
        </w:tc>
      </w:tr>
    </w:tbl>
    <w:p w14:paraId="174F537F">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0" w:firstLineChars="0"/>
        <w:textAlignment w:val="baseline"/>
        <w:rPr>
          <w:rFonts w:hint="eastAsia" w:ascii="黑体" w:hAnsi="黑体" w:eastAsia="黑体" w:cs="黑体"/>
          <w:color w:val="auto"/>
          <w:spacing w:val="7"/>
          <w:sz w:val="31"/>
          <w:szCs w:val="31"/>
        </w:rPr>
        <w:sectPr>
          <w:headerReference r:id="rId8" w:type="default"/>
          <w:pgSz w:w="23811" w:h="16838" w:orient="landscape"/>
          <w:pgMar w:top="1800" w:right="1440" w:bottom="1800" w:left="1440" w:header="851" w:footer="992" w:gutter="0"/>
          <w:pgNumType w:fmt="numberInDash"/>
          <w:cols w:space="2106" w:num="2"/>
          <w:docGrid w:type="lines" w:linePitch="312" w:charSpace="0"/>
        </w:sectPr>
      </w:pPr>
    </w:p>
    <w:p w14:paraId="566052F7">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313" w:afterLines="100" w:line="560" w:lineRule="exact"/>
        <w:ind w:right="0"/>
        <w:jc w:val="center"/>
        <w:textAlignment w:val="baseline"/>
        <w:outlineLvl w:val="0"/>
        <w:rPr>
          <w:rFonts w:hint="eastAsia" w:ascii="黑体" w:hAnsi="黑体" w:eastAsia="黑体" w:cs="黑体"/>
          <w:color w:val="auto"/>
          <w:spacing w:val="7"/>
          <w:sz w:val="44"/>
          <w:szCs w:val="44"/>
          <w:lang w:val="en-US" w:eastAsia="zh-CN"/>
        </w:rPr>
      </w:pPr>
      <w:bookmarkStart w:id="129" w:name="_Toc24439"/>
      <w:bookmarkStart w:id="130" w:name="_Toc14755"/>
      <w:bookmarkStart w:id="131" w:name="_Toc14546"/>
      <w:bookmarkStart w:id="132" w:name="_Toc1419"/>
      <w:r>
        <w:rPr>
          <w:rFonts w:hint="eastAsia" w:ascii="黑体" w:hAnsi="黑体" w:eastAsia="黑体" w:cs="黑体"/>
          <w:color w:val="auto"/>
          <w:spacing w:val="7"/>
          <w:sz w:val="44"/>
          <w:szCs w:val="44"/>
          <w:lang w:val="en-US" w:eastAsia="zh-CN"/>
        </w:rPr>
        <w:t>第三章 规划目标</w:t>
      </w:r>
      <w:bookmarkEnd w:id="129"/>
      <w:bookmarkEnd w:id="130"/>
      <w:bookmarkEnd w:id="131"/>
      <w:bookmarkEnd w:id="132"/>
    </w:p>
    <w:p w14:paraId="67852089">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eastAsia" w:ascii="黑体" w:hAnsi="黑体" w:eastAsia="黑体" w:cs="黑体"/>
          <w:b w:val="0"/>
          <w:bCs w:val="0"/>
          <w:color w:val="auto"/>
          <w:spacing w:val="2"/>
          <w:sz w:val="31"/>
          <w:szCs w:val="31"/>
          <w:lang w:val="en-US" w:eastAsia="zh-CN"/>
        </w:rPr>
      </w:pPr>
      <w:bookmarkStart w:id="133" w:name="_Toc23130"/>
      <w:bookmarkStart w:id="134" w:name="_Toc12828"/>
      <w:bookmarkStart w:id="135" w:name="_Toc4196"/>
      <w:bookmarkStart w:id="136" w:name="_Toc31372"/>
      <w:r>
        <w:rPr>
          <w:rFonts w:hint="eastAsia" w:ascii="黑体" w:hAnsi="黑体" w:eastAsia="黑体" w:cs="黑体"/>
          <w:b w:val="0"/>
          <w:bCs w:val="0"/>
          <w:color w:val="auto"/>
          <w:spacing w:val="2"/>
          <w:sz w:val="31"/>
          <w:szCs w:val="31"/>
          <w:lang w:val="en-US" w:eastAsia="zh-CN"/>
        </w:rPr>
        <w:t>一、总体目标​</w:t>
      </w:r>
      <w:bookmarkEnd w:id="133"/>
      <w:bookmarkEnd w:id="134"/>
      <w:bookmarkEnd w:id="135"/>
      <w:bookmarkEnd w:id="136"/>
    </w:p>
    <w:p w14:paraId="61A8C75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68" w:firstLineChars="200"/>
        <w:textAlignment w:val="baseline"/>
        <w:rPr>
          <w:rFonts w:hint="eastAsia" w:ascii="仿宋_GB2312" w:hAnsi="仿宋_GB2312" w:eastAsia="仿宋_GB2312" w:cs="仿宋_GB2312"/>
          <w:color w:val="auto"/>
          <w:spacing w:val="7"/>
          <w:sz w:val="32"/>
          <w:szCs w:val="32"/>
          <w:lang w:val="en-US" w:eastAsia="zh-CN"/>
        </w:rPr>
      </w:pPr>
      <w:r>
        <w:rPr>
          <w:rFonts w:hint="eastAsia" w:ascii="仿宋_GB2312" w:hAnsi="仿宋_GB2312" w:eastAsia="仿宋_GB2312" w:cs="仿宋_GB2312"/>
          <w:color w:val="auto"/>
          <w:spacing w:val="7"/>
          <w:sz w:val="32"/>
          <w:szCs w:val="32"/>
          <w:lang w:val="en-US" w:eastAsia="zh-CN"/>
        </w:rPr>
        <w:t>全面落实国家及甘肃省关于加强建筑垃圾污染防治、推进资源化利用的决策部署。紧密围绕甘州区城市发展定位，以实现建筑垃圾“减量化、资源化、无害化”为核心目标，通过完善管理体系、优化设施布局、推广先进技术、强化监督执法等一系列举措，构建全过程、全链条的建筑垃圾污染防治长效机制。到2035年，建成系统完备、科学高效、绿色环保的建筑垃圾污染防治体系，显著降低建筑垃圾对环境的负面影响，有效提升资源利用效率，为甘州区打造天蓝、地绿、水美的生态宜居城市筑牢坚实基础。</w:t>
      </w:r>
    </w:p>
    <w:p w14:paraId="2A38D94E">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eastAsia" w:ascii="仿宋_GB2312" w:hAnsi="仿宋_GB2312" w:eastAsia="仿宋_GB2312" w:cs="仿宋_GB2312"/>
          <w:color w:val="auto"/>
          <w:spacing w:val="7"/>
          <w:sz w:val="32"/>
          <w:szCs w:val="32"/>
          <w:lang w:val="en-US" w:eastAsia="zh-CN"/>
        </w:rPr>
      </w:pPr>
      <w:bookmarkStart w:id="137" w:name="_Toc24533"/>
      <w:bookmarkStart w:id="138" w:name="_Toc28015"/>
      <w:bookmarkStart w:id="139" w:name="_Toc272"/>
      <w:bookmarkStart w:id="140" w:name="_Toc16128"/>
      <w:r>
        <w:rPr>
          <w:rFonts w:hint="eastAsia" w:ascii="黑体" w:hAnsi="黑体" w:eastAsia="黑体" w:cs="黑体"/>
          <w:b w:val="0"/>
          <w:bCs w:val="0"/>
          <w:color w:val="auto"/>
          <w:spacing w:val="2"/>
          <w:sz w:val="31"/>
          <w:szCs w:val="31"/>
          <w:lang w:val="en-US" w:eastAsia="zh-CN"/>
        </w:rPr>
        <w:t>二、近期目标（2025—2030年）​</w:t>
      </w:r>
      <w:bookmarkEnd w:id="137"/>
      <w:bookmarkEnd w:id="138"/>
      <w:bookmarkEnd w:id="139"/>
      <w:bookmarkEnd w:id="140"/>
    </w:p>
    <w:p w14:paraId="5A514A2F">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141" w:name="_Toc21930"/>
      <w:bookmarkStart w:id="142" w:name="_Toc3856"/>
      <w:bookmarkStart w:id="143" w:name="_Toc7972"/>
      <w:bookmarkStart w:id="144" w:name="_Toc27695"/>
      <w:r>
        <w:rPr>
          <w:rFonts w:hint="eastAsia" w:ascii="楷体_GB2312" w:hAnsi="楷体_GB2312" w:eastAsia="楷体_GB2312" w:cs="楷体_GB2312"/>
          <w:b/>
          <w:bCs/>
          <w:color w:val="auto"/>
          <w:spacing w:val="8"/>
          <w:sz w:val="32"/>
          <w:szCs w:val="32"/>
          <w:lang w:val="en-US" w:eastAsia="zh-CN"/>
        </w:rPr>
        <w:t>（一）减量化目标</w:t>
      </w:r>
      <w:bookmarkEnd w:id="141"/>
      <w:bookmarkEnd w:id="142"/>
      <w:bookmarkEnd w:id="143"/>
      <w:bookmarkEnd w:id="144"/>
    </w:p>
    <w:p w14:paraId="65E913B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68" w:firstLineChars="200"/>
        <w:textAlignment w:val="baseline"/>
        <w:rPr>
          <w:rFonts w:hint="eastAsia" w:ascii="仿宋_GB2312" w:hAnsi="仿宋_GB2312" w:eastAsia="仿宋_GB2312" w:cs="仿宋_GB2312"/>
          <w:color w:val="auto"/>
          <w:spacing w:val="7"/>
          <w:sz w:val="32"/>
          <w:szCs w:val="32"/>
          <w:lang w:val="en-US" w:eastAsia="zh-CN"/>
        </w:rPr>
      </w:pPr>
      <w:r>
        <w:rPr>
          <w:rFonts w:hint="eastAsia" w:ascii="仿宋_GB2312" w:hAnsi="仿宋_GB2312" w:eastAsia="仿宋_GB2312" w:cs="仿宋_GB2312"/>
          <w:color w:val="auto"/>
          <w:spacing w:val="7"/>
          <w:sz w:val="32"/>
          <w:szCs w:val="32"/>
          <w:lang w:val="en-US" w:eastAsia="zh-CN"/>
        </w:rPr>
        <w:t>中心城区新建建筑全面执行绿色建筑标准，装配式建筑占比达到30%以上，建筑工地主材损耗率控制在3%以内，建筑垃圾产生量增速较2024年放缓至4%以下。结合甘州区作为国家新型城镇化试点的实际情况，在城市更新过程中，可充分利用相关政策和项目支持，推动建筑减量化工作。</w:t>
      </w:r>
    </w:p>
    <w:p w14:paraId="75C07676">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145" w:name="_Toc28285"/>
      <w:bookmarkStart w:id="146" w:name="_Toc32172"/>
      <w:bookmarkStart w:id="147" w:name="_Toc13739"/>
      <w:bookmarkStart w:id="148" w:name="_Toc10047"/>
      <w:r>
        <w:rPr>
          <w:rFonts w:hint="eastAsia" w:ascii="楷体_GB2312" w:hAnsi="楷体_GB2312" w:eastAsia="楷体_GB2312" w:cs="楷体_GB2312"/>
          <w:b/>
          <w:bCs/>
          <w:color w:val="auto"/>
          <w:spacing w:val="8"/>
          <w:sz w:val="32"/>
          <w:szCs w:val="32"/>
          <w:lang w:val="en-US" w:eastAsia="zh-CN"/>
        </w:rPr>
        <w:t>（二）资源化目标</w:t>
      </w:r>
      <w:bookmarkEnd w:id="145"/>
      <w:bookmarkEnd w:id="146"/>
      <w:bookmarkEnd w:id="147"/>
      <w:bookmarkEnd w:id="148"/>
    </w:p>
    <w:p w14:paraId="6EE9B96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68" w:firstLineChars="200"/>
        <w:textAlignment w:val="baseline"/>
        <w:rPr>
          <w:rFonts w:hint="eastAsia" w:ascii="仿宋_GB2312" w:hAnsi="仿宋_GB2312" w:eastAsia="仿宋_GB2312" w:cs="仿宋_GB2312"/>
          <w:color w:val="auto"/>
          <w:spacing w:val="7"/>
          <w:sz w:val="32"/>
          <w:szCs w:val="32"/>
          <w:lang w:val="en-US" w:eastAsia="zh-CN"/>
        </w:rPr>
      </w:pPr>
      <w:r>
        <w:rPr>
          <w:rFonts w:hint="eastAsia" w:ascii="仿宋_GB2312" w:hAnsi="仿宋_GB2312" w:eastAsia="仿宋_GB2312" w:cs="仿宋_GB2312"/>
          <w:color w:val="auto"/>
          <w:spacing w:val="7"/>
          <w:sz w:val="32"/>
          <w:szCs w:val="32"/>
          <w:lang w:val="en-US" w:eastAsia="zh-CN"/>
        </w:rPr>
        <w:t>新增建筑垃圾资源化利用厂1处，全区资源化利用总设计能力提升至40万吨/年，实际年处理量达到18万吨以上，资源化利用率突破50%；建立再生骨料、再生砖等再生产品地方标准，推动再生产品在市政道路、公园绿地、保障性住房等项目中的应用比例不低于30%；培育2—3家规模化建筑垃圾资源化利用企业，形成“产生—处理—应用”闭环产业链。考虑到甘州区的产业发展基础，可依托当地的建筑企业和相关产业，逐步培育资源化利用企业。</w:t>
      </w:r>
    </w:p>
    <w:p w14:paraId="6F222975">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149" w:name="_Toc22036"/>
      <w:bookmarkStart w:id="150" w:name="_Toc25517"/>
      <w:bookmarkStart w:id="151" w:name="_Toc32456"/>
      <w:bookmarkStart w:id="152" w:name="_Toc5538"/>
      <w:r>
        <w:rPr>
          <w:rFonts w:hint="eastAsia" w:ascii="楷体_GB2312" w:hAnsi="楷体_GB2312" w:eastAsia="楷体_GB2312" w:cs="楷体_GB2312"/>
          <w:b/>
          <w:bCs/>
          <w:color w:val="auto"/>
          <w:spacing w:val="8"/>
          <w:sz w:val="32"/>
          <w:szCs w:val="32"/>
          <w:lang w:val="en-US" w:eastAsia="zh-CN"/>
        </w:rPr>
        <w:t>（三）无害化目标</w:t>
      </w:r>
      <w:bookmarkEnd w:id="149"/>
      <w:bookmarkEnd w:id="150"/>
      <w:bookmarkEnd w:id="151"/>
      <w:bookmarkEnd w:id="152"/>
    </w:p>
    <w:p w14:paraId="0DAC9D3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68" w:firstLineChars="200"/>
        <w:textAlignment w:val="baseline"/>
        <w:rPr>
          <w:rFonts w:hint="eastAsia" w:ascii="仿宋_GB2312" w:hAnsi="仿宋_GB2312" w:eastAsia="仿宋_GB2312" w:cs="仿宋_GB2312"/>
          <w:color w:val="auto"/>
          <w:spacing w:val="7"/>
          <w:sz w:val="32"/>
          <w:szCs w:val="32"/>
          <w:lang w:val="en-US" w:eastAsia="zh-CN"/>
        </w:rPr>
      </w:pPr>
      <w:r>
        <w:rPr>
          <w:rFonts w:hint="eastAsia" w:ascii="仿宋_GB2312" w:hAnsi="仿宋_GB2312" w:eastAsia="仿宋_GB2312" w:cs="仿宋_GB2312"/>
          <w:color w:val="auto"/>
          <w:spacing w:val="7"/>
          <w:sz w:val="32"/>
          <w:szCs w:val="32"/>
          <w:lang w:val="en-US" w:eastAsia="zh-CN"/>
        </w:rPr>
        <w:t>完成现有1处建筑垃圾堆倒场提质改造；按照《张掖市国土空间总体规划（2021－2035年）》要求，在城南新增规范化建筑垃圾处理场1处，总容量增加100万立方米，满足2030年后5年需求；城乡接合部历史遗留建筑垃圾堆放点整治完成率达到80%，消除土壤、地下水污染风险。根据甘州区的地理环境和生态保护要求，在消纳场建设和整治过程中，要特别注重生态环境保护。</w:t>
      </w:r>
    </w:p>
    <w:p w14:paraId="7350B3D7">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153" w:name="_Toc27360"/>
      <w:bookmarkStart w:id="154" w:name="_Toc22909"/>
      <w:bookmarkStart w:id="155" w:name="_Toc28567"/>
      <w:bookmarkStart w:id="156" w:name="_Toc7986"/>
      <w:r>
        <w:rPr>
          <w:rFonts w:hint="eastAsia" w:ascii="楷体_GB2312" w:hAnsi="楷体_GB2312" w:eastAsia="楷体_GB2312" w:cs="楷体_GB2312"/>
          <w:b/>
          <w:bCs/>
          <w:color w:val="auto"/>
          <w:spacing w:val="8"/>
          <w:sz w:val="32"/>
          <w:szCs w:val="32"/>
          <w:lang w:val="en-US" w:eastAsia="zh-CN"/>
        </w:rPr>
        <w:t>（四）管理目标</w:t>
      </w:r>
      <w:bookmarkEnd w:id="153"/>
      <w:bookmarkEnd w:id="154"/>
      <w:bookmarkEnd w:id="155"/>
      <w:bookmarkEnd w:id="156"/>
    </w:p>
    <w:p w14:paraId="040962B0">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68" w:firstLineChars="200"/>
        <w:textAlignment w:val="baseline"/>
        <w:rPr>
          <w:rFonts w:hint="eastAsia" w:ascii="仿宋_GB2312" w:hAnsi="仿宋_GB2312" w:eastAsia="仿宋_GB2312" w:cs="仿宋_GB2312"/>
          <w:color w:val="auto"/>
          <w:spacing w:val="7"/>
          <w:sz w:val="32"/>
          <w:szCs w:val="32"/>
          <w:lang w:val="en-US" w:eastAsia="zh-CN"/>
        </w:rPr>
      </w:pPr>
      <w:r>
        <w:rPr>
          <w:rFonts w:hint="eastAsia" w:ascii="仿宋_GB2312" w:hAnsi="仿宋_GB2312" w:eastAsia="仿宋_GB2312" w:cs="仿宋_GB2312"/>
          <w:color w:val="auto"/>
          <w:spacing w:val="7"/>
          <w:sz w:val="32"/>
          <w:szCs w:val="32"/>
          <w:lang w:val="en-US" w:eastAsia="zh-CN"/>
        </w:rPr>
        <w:t>建成甘州区建筑垃圾智慧监管平台，实现建筑工地源头申报、运输车辆轨迹追踪、处置场计量监管全流程信息化，非法倾倒案件发现率提升至90%以上；开展建筑垃圾治理专项培训，覆盖建设、施工、运输、处置企业负责人及管理人员，培训覆盖率达到100%。利用甘州区“智慧城市”高效运行的优势，加快建筑垃圾智慧监管平台的建设，提高管理效率。​</w:t>
      </w:r>
    </w:p>
    <w:p w14:paraId="6A6840BF">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eastAsia" w:ascii="黑体" w:hAnsi="黑体" w:eastAsia="黑体" w:cs="黑体"/>
          <w:b w:val="0"/>
          <w:bCs w:val="0"/>
          <w:color w:val="auto"/>
          <w:spacing w:val="2"/>
          <w:sz w:val="31"/>
          <w:szCs w:val="31"/>
          <w:lang w:val="en-US" w:eastAsia="zh-CN"/>
        </w:rPr>
      </w:pPr>
      <w:bookmarkStart w:id="157" w:name="_Toc17766"/>
      <w:bookmarkStart w:id="158" w:name="_Toc32423"/>
      <w:bookmarkStart w:id="159" w:name="_Toc32133"/>
      <w:bookmarkStart w:id="160" w:name="_Toc30625"/>
      <w:r>
        <w:rPr>
          <w:rFonts w:hint="eastAsia" w:ascii="黑体" w:hAnsi="黑体" w:eastAsia="黑体" w:cs="黑体"/>
          <w:b w:val="0"/>
          <w:bCs w:val="0"/>
          <w:color w:val="auto"/>
          <w:spacing w:val="2"/>
          <w:sz w:val="31"/>
          <w:szCs w:val="31"/>
          <w:lang w:val="en-US" w:eastAsia="zh-CN"/>
        </w:rPr>
        <w:t>三、远期目标（2031—2035年）​</w:t>
      </w:r>
      <w:bookmarkEnd w:id="157"/>
      <w:bookmarkEnd w:id="158"/>
      <w:bookmarkEnd w:id="159"/>
      <w:bookmarkEnd w:id="160"/>
    </w:p>
    <w:p w14:paraId="313B7843">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161" w:name="_Toc31048"/>
      <w:bookmarkStart w:id="162" w:name="_Toc29646"/>
      <w:bookmarkStart w:id="163" w:name="_Toc3168"/>
      <w:bookmarkStart w:id="164" w:name="_Toc6498"/>
      <w:r>
        <w:rPr>
          <w:rFonts w:hint="eastAsia" w:ascii="楷体_GB2312" w:hAnsi="楷体_GB2312" w:eastAsia="楷体_GB2312" w:cs="楷体_GB2312"/>
          <w:b/>
          <w:bCs/>
          <w:color w:val="auto"/>
          <w:spacing w:val="8"/>
          <w:sz w:val="32"/>
          <w:szCs w:val="32"/>
          <w:lang w:val="en-US" w:eastAsia="zh-CN"/>
        </w:rPr>
        <w:t>（一）减量化目标</w:t>
      </w:r>
      <w:bookmarkEnd w:id="161"/>
      <w:bookmarkEnd w:id="162"/>
      <w:bookmarkEnd w:id="163"/>
      <w:bookmarkEnd w:id="164"/>
    </w:p>
    <w:p w14:paraId="004333DD">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68" w:firstLineChars="200"/>
        <w:textAlignment w:val="baseline"/>
        <w:rPr>
          <w:rFonts w:hint="eastAsia" w:ascii="仿宋_GB2312" w:hAnsi="仿宋_GB2312" w:eastAsia="仿宋_GB2312" w:cs="仿宋_GB2312"/>
          <w:color w:val="auto"/>
          <w:spacing w:val="7"/>
          <w:sz w:val="32"/>
          <w:szCs w:val="32"/>
          <w:lang w:val="en-US" w:eastAsia="zh-CN"/>
        </w:rPr>
      </w:pPr>
      <w:r>
        <w:rPr>
          <w:rFonts w:hint="eastAsia" w:ascii="仿宋_GB2312" w:hAnsi="仿宋_GB2312" w:eastAsia="仿宋_GB2312" w:cs="仿宋_GB2312"/>
          <w:color w:val="auto"/>
          <w:spacing w:val="7"/>
          <w:sz w:val="32"/>
          <w:szCs w:val="32"/>
          <w:lang w:val="en-US" w:eastAsia="zh-CN"/>
        </w:rPr>
        <w:t>中心城区装配式建筑占比达到40%以上，绿色建筑实现新建项目全覆盖，建筑工地材料损耗率控制在2%以内，建筑垃圾产生量实现“零增长”；全区建筑垃圾产生总量较2030年减少10%。随着甘州区新型城镇化的推进，建筑行业将不断发展，要持续加强减量化工作，实现建筑垃圾的有效控制。​</w:t>
      </w:r>
    </w:p>
    <w:p w14:paraId="24992072">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165" w:name="_Toc8544"/>
      <w:bookmarkStart w:id="166" w:name="_Toc20855"/>
      <w:bookmarkStart w:id="167" w:name="_Toc1222"/>
      <w:bookmarkStart w:id="168" w:name="_Toc23262"/>
      <w:r>
        <w:rPr>
          <w:rFonts w:hint="eastAsia" w:ascii="楷体_GB2312" w:hAnsi="楷体_GB2312" w:eastAsia="楷体_GB2312" w:cs="楷体_GB2312"/>
          <w:b/>
          <w:bCs/>
          <w:color w:val="auto"/>
          <w:spacing w:val="8"/>
          <w:sz w:val="32"/>
          <w:szCs w:val="32"/>
          <w:lang w:val="en-US" w:eastAsia="zh-CN"/>
        </w:rPr>
        <w:t>（二）资源化目标</w:t>
      </w:r>
      <w:bookmarkEnd w:id="165"/>
      <w:bookmarkEnd w:id="166"/>
      <w:bookmarkEnd w:id="167"/>
      <w:bookmarkEnd w:id="168"/>
    </w:p>
    <w:p w14:paraId="38907457">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68" w:firstLineChars="200"/>
        <w:textAlignment w:val="baseline"/>
        <w:rPr>
          <w:rFonts w:hint="eastAsia" w:ascii="仿宋_GB2312" w:hAnsi="仿宋_GB2312" w:eastAsia="仿宋_GB2312" w:cs="仿宋_GB2312"/>
          <w:color w:val="auto"/>
          <w:spacing w:val="7"/>
          <w:sz w:val="32"/>
          <w:szCs w:val="32"/>
          <w:lang w:val="en-US" w:eastAsia="zh-CN"/>
        </w:rPr>
      </w:pPr>
      <w:r>
        <w:rPr>
          <w:rFonts w:hint="eastAsia" w:ascii="仿宋_GB2312" w:hAnsi="仿宋_GB2312" w:eastAsia="仿宋_GB2312" w:cs="仿宋_GB2312"/>
          <w:color w:val="auto"/>
          <w:spacing w:val="7"/>
          <w:sz w:val="32"/>
          <w:szCs w:val="32"/>
          <w:lang w:val="en-US" w:eastAsia="zh-CN"/>
        </w:rPr>
        <w:t>全区建筑垃圾资源化利用率稳定在60%以上，再生产品种类完成重点突破，逐步拓展至再生混凝土、再生砖等领域；完成产业园区的基础设施建设，整合破碎、加工环节资源，形成产业聚集效应，实现年产值1000万元-2000万元，而后进一步完善研发、应用等环节，加大技术创新投入，与本地高校、科研机构合作，攻克技术难题，提升产品质量与生产效率，逐步发挥产业园区对区域经济与建筑垃圾资源化利用的推动作用。​</w:t>
      </w:r>
    </w:p>
    <w:p w14:paraId="3F16E8B0">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169" w:name="_Toc12555"/>
      <w:bookmarkStart w:id="170" w:name="_Toc21645"/>
      <w:bookmarkStart w:id="171" w:name="_Toc17913"/>
      <w:bookmarkStart w:id="172" w:name="_Toc21853"/>
      <w:r>
        <w:rPr>
          <w:rFonts w:hint="eastAsia" w:ascii="楷体_GB2312" w:hAnsi="楷体_GB2312" w:eastAsia="楷体_GB2312" w:cs="楷体_GB2312"/>
          <w:b/>
          <w:bCs/>
          <w:color w:val="auto"/>
          <w:spacing w:val="8"/>
          <w:sz w:val="32"/>
          <w:szCs w:val="32"/>
          <w:lang w:val="en-US" w:eastAsia="zh-CN"/>
        </w:rPr>
        <w:t>（三）无害化目标</w:t>
      </w:r>
      <w:bookmarkEnd w:id="169"/>
      <w:bookmarkEnd w:id="170"/>
      <w:bookmarkEnd w:id="171"/>
      <w:bookmarkEnd w:id="172"/>
    </w:p>
    <w:p w14:paraId="3255270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68" w:firstLineChars="200"/>
        <w:textAlignment w:val="baseline"/>
        <w:rPr>
          <w:rFonts w:hint="eastAsia" w:ascii="仿宋_GB2312" w:hAnsi="仿宋_GB2312" w:eastAsia="仿宋_GB2312" w:cs="仿宋_GB2312"/>
          <w:color w:val="auto"/>
          <w:spacing w:val="7"/>
          <w:sz w:val="32"/>
          <w:szCs w:val="32"/>
          <w:lang w:val="en-US" w:eastAsia="zh-CN"/>
        </w:rPr>
      </w:pPr>
      <w:r>
        <w:rPr>
          <w:rFonts w:hint="eastAsia" w:ascii="仿宋_GB2312" w:hAnsi="仿宋_GB2312" w:eastAsia="仿宋_GB2312" w:cs="仿宋_GB2312"/>
          <w:color w:val="auto"/>
          <w:spacing w:val="7"/>
          <w:sz w:val="32"/>
          <w:szCs w:val="32"/>
          <w:lang w:val="en-US" w:eastAsia="zh-CN"/>
        </w:rPr>
        <w:t>历史遗留建筑垃圾堆放点全部整治完成，建立建筑垃圾处置场长效运维机制，确保长期稳定达标运行；探索建筑垃圾协同处置模式，与生活垃圾焚烧厂、工业固废处理设施联动，实现难处理建筑垃圾（含危废成分混合垃圾）无害化处置率100%；全区土壤、地下水环境质量受建筑垃圾污染影响的风险降至最低，生态环境安全得到全面保障。根据甘州区的环境承载能力和生态保护需求，探索适合当地的建筑垃圾协同处置模式。</w:t>
      </w:r>
    </w:p>
    <w:p w14:paraId="0C96F207">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173" w:name="_Toc1261"/>
      <w:bookmarkStart w:id="174" w:name="_Toc14986"/>
      <w:bookmarkStart w:id="175" w:name="_Toc2487"/>
      <w:bookmarkStart w:id="176" w:name="_Toc6070"/>
      <w:r>
        <w:rPr>
          <w:rFonts w:hint="eastAsia" w:ascii="楷体_GB2312" w:hAnsi="楷体_GB2312" w:eastAsia="楷体_GB2312" w:cs="楷体_GB2312"/>
          <w:b/>
          <w:bCs/>
          <w:color w:val="auto"/>
          <w:spacing w:val="8"/>
          <w:sz w:val="32"/>
          <w:szCs w:val="32"/>
          <w:lang w:val="en-US" w:eastAsia="zh-CN"/>
        </w:rPr>
        <w:t>（四）管理目标</w:t>
      </w:r>
      <w:bookmarkEnd w:id="173"/>
      <w:bookmarkEnd w:id="174"/>
      <w:bookmarkEnd w:id="175"/>
      <w:bookmarkEnd w:id="176"/>
    </w:p>
    <w:p w14:paraId="351B1D5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68" w:firstLineChars="200"/>
        <w:jc w:val="center"/>
        <w:textAlignment w:val="baseline"/>
        <w:rPr>
          <w:rFonts w:hint="eastAsia" w:ascii="仿宋_GB2312" w:hAnsi="仿宋_GB2312" w:eastAsia="仿宋_GB2312" w:cs="仿宋_GB2312"/>
          <w:color w:val="auto"/>
          <w:spacing w:val="7"/>
          <w:sz w:val="32"/>
          <w:szCs w:val="32"/>
          <w:lang w:val="en-US" w:eastAsia="zh-CN"/>
        </w:rPr>
      </w:pPr>
      <w:r>
        <w:rPr>
          <w:rFonts w:hint="eastAsia" w:ascii="仿宋_GB2312" w:hAnsi="仿宋_GB2312" w:eastAsia="仿宋_GB2312" w:cs="仿宋_GB2312"/>
          <w:color w:val="auto"/>
          <w:spacing w:val="7"/>
          <w:sz w:val="32"/>
          <w:szCs w:val="32"/>
          <w:lang w:val="en-US" w:eastAsia="zh-CN"/>
        </w:rPr>
        <w:t>形成“政府主导、企业主责、公众参与”的建筑垃圾治理长效机制；建立建筑垃圾治理信用评价体系，对企业实行分级分类管理，信用等级与项目招投标、许可审批直接挂钩；实现建筑垃圾治理与城市更新、生态保护深度融合，打造全省建筑垃圾“减量化、资源化、无害化”治理示范县区。充分发挥甘州区作为全省城市生活垃圾分类示范城市的引领作用，推动建筑垃圾治理工作的全面提升。</w:t>
      </w:r>
    </w:p>
    <w:p w14:paraId="0D3DCE2A">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eastAsia" w:ascii="黑体" w:hAnsi="黑体" w:eastAsia="黑体" w:cs="黑体"/>
          <w:b w:val="0"/>
          <w:bCs w:val="0"/>
          <w:color w:val="auto"/>
          <w:spacing w:val="2"/>
          <w:sz w:val="31"/>
          <w:szCs w:val="31"/>
          <w:lang w:val="en-US" w:eastAsia="zh-CN"/>
        </w:rPr>
      </w:pPr>
      <w:bookmarkStart w:id="177" w:name="_Toc20104"/>
      <w:bookmarkStart w:id="178" w:name="_Toc14456"/>
      <w:bookmarkStart w:id="179" w:name="_Toc6100"/>
      <w:bookmarkStart w:id="180" w:name="_Toc9785"/>
      <w:r>
        <w:rPr>
          <w:rFonts w:hint="eastAsia" w:ascii="黑体" w:hAnsi="黑体" w:eastAsia="黑体" w:cs="黑体"/>
          <w:b w:val="0"/>
          <w:bCs w:val="0"/>
          <w:color w:val="auto"/>
          <w:spacing w:val="2"/>
          <w:sz w:val="31"/>
          <w:szCs w:val="31"/>
          <w:lang w:val="en-US" w:eastAsia="zh-CN"/>
        </w:rPr>
        <w:t>四、控制指标</w:t>
      </w:r>
      <w:bookmarkEnd w:id="177"/>
      <w:bookmarkEnd w:id="178"/>
      <w:bookmarkEnd w:id="179"/>
      <w:bookmarkEnd w:id="180"/>
    </w:p>
    <w:p w14:paraId="1E0A174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68" w:firstLineChars="200"/>
        <w:jc w:val="both"/>
        <w:textAlignment w:val="baseline"/>
        <w:rPr>
          <w:rFonts w:hint="eastAsia" w:ascii="仿宋_GB2312" w:hAnsi="仿宋_GB2312" w:eastAsia="仿宋_GB2312" w:cs="仿宋_GB2312"/>
          <w:color w:val="auto"/>
          <w:spacing w:val="7"/>
          <w:sz w:val="32"/>
          <w:szCs w:val="32"/>
          <w:lang w:val="en-US" w:eastAsia="zh-CN"/>
        </w:rPr>
      </w:pPr>
      <w:r>
        <w:rPr>
          <w:rFonts w:hint="default" w:ascii="仿宋_GB2312" w:hAnsi="仿宋_GB2312" w:eastAsia="仿宋_GB2312" w:cs="仿宋_GB2312"/>
          <w:color w:val="auto"/>
          <w:spacing w:val="7"/>
          <w:sz w:val="32"/>
          <w:szCs w:val="32"/>
          <w:lang w:val="en-US" w:eastAsia="zh-CN"/>
        </w:rPr>
        <w:t>本次规划目标包括近远期两个阶段，构建包含减量化、 资源化、无害化、数字化等四大类、11个规划控制目标的指标体系，详见下表。</w:t>
      </w:r>
    </w:p>
    <w:p w14:paraId="33EF6FE1">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0" w:firstLineChars="0"/>
        <w:jc w:val="center"/>
        <w:textAlignment w:val="baseline"/>
        <w:rPr>
          <w:rFonts w:hint="eastAsia" w:ascii="仿宋_GB2312" w:hAnsi="仿宋_GB2312" w:eastAsia="仿宋_GB2312" w:cs="仿宋_GB2312"/>
          <w:color w:val="auto"/>
          <w:spacing w:val="7"/>
          <w:sz w:val="32"/>
          <w:szCs w:val="32"/>
          <w:lang w:val="en-US" w:eastAsia="zh-CN"/>
        </w:rPr>
      </w:pPr>
      <w:r>
        <w:rPr>
          <w:rFonts w:hint="eastAsia" w:ascii="仿宋_GB2312" w:hAnsi="仿宋_GB2312" w:eastAsia="仿宋_GB2312" w:cs="仿宋_GB2312"/>
          <w:color w:val="auto"/>
          <w:spacing w:val="7"/>
          <w:sz w:val="32"/>
          <w:szCs w:val="32"/>
          <w:lang w:val="en-US" w:eastAsia="zh-CN"/>
        </w:rPr>
        <w:t>​</w:t>
      </w:r>
      <w:r>
        <w:rPr>
          <w:rFonts w:hint="eastAsia" w:ascii="仿宋_GB2312" w:hAnsi="仿宋_GB2312" w:eastAsia="仿宋_GB2312" w:cs="仿宋_GB2312"/>
          <w:b w:val="0"/>
          <w:bCs w:val="0"/>
          <w:i w:val="0"/>
          <w:iCs w:val="0"/>
          <w:snapToGrid w:val="0"/>
          <w:color w:val="auto"/>
          <w:kern w:val="0"/>
          <w:sz w:val="32"/>
          <w:szCs w:val="32"/>
          <w:u w:val="none"/>
          <w:lang w:val="en-US" w:eastAsia="zh-CN" w:bidi="ar"/>
        </w:rPr>
        <w:t>表3-1 控制指标</w:t>
      </w:r>
    </w:p>
    <w:tbl>
      <w:tblPr>
        <w:tblStyle w:val="16"/>
        <w:tblW w:w="4995"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702"/>
        <w:gridCol w:w="570"/>
        <w:gridCol w:w="4886"/>
        <w:gridCol w:w="1073"/>
        <w:gridCol w:w="1208"/>
        <w:gridCol w:w="970"/>
      </w:tblGrid>
      <w:tr w14:paraId="485AD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33" w:hRule="atLeast"/>
          <w:jc w:val="center"/>
        </w:trPr>
        <w:tc>
          <w:tcPr>
            <w:tcW w:w="373" w:type="pct"/>
            <w:vAlign w:val="center"/>
          </w:tcPr>
          <w:p w14:paraId="2DAB96E9">
            <w:pPr>
              <w:pStyle w:val="15"/>
              <w:spacing w:before="147" w:line="200" w:lineRule="auto"/>
              <w:ind w:left="41"/>
              <w:jc w:val="center"/>
              <w:rPr>
                <w:color w:val="auto"/>
              </w:rPr>
            </w:pPr>
            <w:r>
              <w:rPr>
                <w:b/>
                <w:bCs/>
                <w:color w:val="auto"/>
                <w:spacing w:val="36"/>
              </w:rPr>
              <w:t>序号</w:t>
            </w:r>
          </w:p>
        </w:tc>
        <w:tc>
          <w:tcPr>
            <w:tcW w:w="303" w:type="pct"/>
            <w:vAlign w:val="center"/>
          </w:tcPr>
          <w:p w14:paraId="7F9F7E6D">
            <w:pPr>
              <w:pStyle w:val="15"/>
              <w:spacing w:before="197" w:line="218" w:lineRule="auto"/>
              <w:jc w:val="center"/>
              <w:rPr>
                <w:color w:val="auto"/>
              </w:rPr>
            </w:pPr>
            <w:r>
              <w:rPr>
                <w:b/>
                <w:bCs/>
                <w:color w:val="auto"/>
                <w:spacing w:val="-12"/>
              </w:rPr>
              <w:t>类别</w:t>
            </w:r>
          </w:p>
        </w:tc>
        <w:tc>
          <w:tcPr>
            <w:tcW w:w="2596" w:type="pct"/>
            <w:vAlign w:val="center"/>
          </w:tcPr>
          <w:p w14:paraId="1FD0363D">
            <w:pPr>
              <w:pStyle w:val="15"/>
              <w:spacing w:before="196" w:line="221" w:lineRule="auto"/>
              <w:jc w:val="center"/>
              <w:rPr>
                <w:color w:val="auto"/>
              </w:rPr>
            </w:pPr>
            <w:r>
              <w:rPr>
                <w:b/>
                <w:bCs/>
                <w:color w:val="auto"/>
                <w:spacing w:val="-8"/>
              </w:rPr>
              <w:t>主要指标</w:t>
            </w:r>
          </w:p>
        </w:tc>
        <w:tc>
          <w:tcPr>
            <w:tcW w:w="570" w:type="pct"/>
            <w:vAlign w:val="center"/>
          </w:tcPr>
          <w:p w14:paraId="279B840D">
            <w:pPr>
              <w:pStyle w:val="15"/>
              <w:spacing w:before="40" w:line="222" w:lineRule="auto"/>
              <w:ind w:left="0"/>
              <w:jc w:val="center"/>
              <w:rPr>
                <w:color w:val="auto"/>
              </w:rPr>
            </w:pPr>
            <w:r>
              <w:rPr>
                <w:b/>
                <w:bCs/>
                <w:color w:val="auto"/>
                <w:spacing w:val="-11"/>
              </w:rPr>
              <w:t>近期</w:t>
            </w:r>
            <w:r>
              <w:rPr>
                <w:b/>
                <w:bCs/>
                <w:color w:val="auto"/>
                <w:spacing w:val="-32"/>
              </w:rPr>
              <w:t>目标</w:t>
            </w:r>
          </w:p>
        </w:tc>
        <w:tc>
          <w:tcPr>
            <w:tcW w:w="642" w:type="pct"/>
            <w:vAlign w:val="center"/>
          </w:tcPr>
          <w:p w14:paraId="6EC53BA6">
            <w:pPr>
              <w:pStyle w:val="15"/>
              <w:spacing w:before="40" w:line="221" w:lineRule="auto"/>
              <w:jc w:val="center"/>
              <w:rPr>
                <w:color w:val="auto"/>
              </w:rPr>
            </w:pPr>
            <w:r>
              <w:rPr>
                <w:b/>
                <w:bCs/>
                <w:color w:val="auto"/>
                <w:spacing w:val="-12"/>
              </w:rPr>
              <w:t>远期</w:t>
            </w:r>
            <w:r>
              <w:rPr>
                <w:b/>
                <w:bCs/>
                <w:color w:val="auto"/>
                <w:spacing w:val="-32"/>
              </w:rPr>
              <w:t>目标</w:t>
            </w:r>
          </w:p>
        </w:tc>
        <w:tc>
          <w:tcPr>
            <w:tcW w:w="513" w:type="pct"/>
            <w:vAlign w:val="center"/>
          </w:tcPr>
          <w:p w14:paraId="43549529">
            <w:pPr>
              <w:pStyle w:val="15"/>
              <w:spacing w:before="196" w:line="221" w:lineRule="auto"/>
              <w:jc w:val="center"/>
              <w:rPr>
                <w:color w:val="auto"/>
              </w:rPr>
            </w:pPr>
            <w:r>
              <w:rPr>
                <w:b/>
                <w:bCs/>
                <w:color w:val="auto"/>
                <w:spacing w:val="-12"/>
              </w:rPr>
              <w:t>备注</w:t>
            </w:r>
          </w:p>
        </w:tc>
      </w:tr>
      <w:tr w14:paraId="66EEEA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7" w:hRule="atLeast"/>
          <w:jc w:val="center"/>
        </w:trPr>
        <w:tc>
          <w:tcPr>
            <w:tcW w:w="373" w:type="pct"/>
            <w:vAlign w:val="center"/>
          </w:tcPr>
          <w:p w14:paraId="0490FFD0">
            <w:pPr>
              <w:spacing w:before="69" w:line="1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p>
        </w:tc>
        <w:tc>
          <w:tcPr>
            <w:tcW w:w="303" w:type="pct"/>
            <w:vMerge w:val="restart"/>
            <w:tcBorders>
              <w:bottom w:val="nil"/>
            </w:tcBorders>
            <w:vAlign w:val="center"/>
          </w:tcPr>
          <w:p w14:paraId="1F83B7C8">
            <w:pPr>
              <w:pStyle w:val="15"/>
              <w:spacing w:before="314" w:line="184" w:lineRule="auto"/>
              <w:jc w:val="center"/>
              <w:rPr>
                <w:rFonts w:hint="eastAsia" w:ascii="仿宋_GB2312" w:hAnsi="仿宋_GB2312" w:eastAsia="仿宋_GB2312" w:cs="仿宋_GB2312"/>
                <w:color w:val="auto"/>
                <w:spacing w:val="-1"/>
                <w:lang w:val="en-US" w:eastAsia="zh-CN"/>
              </w:rPr>
            </w:pPr>
            <w:r>
              <w:rPr>
                <w:rFonts w:hint="eastAsia" w:ascii="仿宋_GB2312" w:hAnsi="仿宋_GB2312" w:eastAsia="仿宋_GB2312" w:cs="仿宋_GB2312"/>
                <w:color w:val="auto"/>
                <w:spacing w:val="-1"/>
              </w:rPr>
              <w:t>减</w:t>
            </w:r>
          </w:p>
          <w:p w14:paraId="35904955">
            <w:pPr>
              <w:pStyle w:val="15"/>
              <w:spacing w:before="314" w:line="184" w:lineRule="auto"/>
              <w:jc w:val="center"/>
              <w:rPr>
                <w:rFonts w:hint="eastAsia" w:ascii="仿宋_GB2312" w:hAnsi="仿宋_GB2312" w:eastAsia="仿宋_GB2312" w:cs="仿宋_GB2312"/>
                <w:color w:val="auto"/>
                <w:spacing w:val="-1"/>
                <w:lang w:val="en-US" w:eastAsia="zh-CN"/>
              </w:rPr>
            </w:pPr>
            <w:r>
              <w:rPr>
                <w:rFonts w:hint="eastAsia" w:ascii="仿宋_GB2312" w:hAnsi="仿宋_GB2312" w:eastAsia="仿宋_GB2312" w:cs="仿宋_GB2312"/>
                <w:color w:val="auto"/>
                <w:spacing w:val="-1"/>
              </w:rPr>
              <w:t>量</w:t>
            </w:r>
          </w:p>
          <w:p w14:paraId="2FAD3430">
            <w:pPr>
              <w:pStyle w:val="15"/>
              <w:spacing w:before="314" w:line="184" w:lineRule="auto"/>
              <w:jc w:val="center"/>
              <w:rPr>
                <w:rFonts w:hint="eastAsia" w:ascii="仿宋_GB2312" w:hAnsi="仿宋_GB2312" w:eastAsia="仿宋_GB2312" w:cs="仿宋_GB2312"/>
                <w:color w:val="auto"/>
              </w:rPr>
            </w:pPr>
            <w:r>
              <w:rPr>
                <w:rFonts w:hint="eastAsia" w:ascii="仿宋_GB2312" w:hAnsi="仿宋_GB2312" w:eastAsia="仿宋_GB2312" w:cs="仿宋_GB2312"/>
                <w:color w:val="auto"/>
                <w:spacing w:val="-1"/>
              </w:rPr>
              <w:t>化</w:t>
            </w:r>
          </w:p>
        </w:tc>
        <w:tc>
          <w:tcPr>
            <w:tcW w:w="2596" w:type="pct"/>
            <w:vAlign w:val="center"/>
          </w:tcPr>
          <w:p w14:paraId="283B0B68">
            <w:pPr>
              <w:pStyle w:val="15"/>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spacing w:val="5"/>
              </w:rPr>
              <w:t>新建建筑施工现场建筑垃圾（不包括工程渣土、工程泥浆）（吨/万m</w:t>
            </w:r>
            <w:r>
              <w:rPr>
                <w:rFonts w:hint="eastAsia" w:ascii="仿宋_GB2312" w:hAnsi="仿宋_GB2312" w:eastAsia="仿宋_GB2312" w:cs="仿宋_GB2312"/>
                <w:color w:val="auto"/>
                <w:spacing w:val="5"/>
                <w:vertAlign w:val="superscript"/>
                <w:lang w:val="en-US" w:eastAsia="zh-CN"/>
              </w:rPr>
              <w:t>2</w:t>
            </w:r>
            <w:r>
              <w:rPr>
                <w:rFonts w:hint="eastAsia" w:ascii="仿宋_GB2312" w:hAnsi="仿宋_GB2312" w:eastAsia="仿宋_GB2312" w:cs="仿宋_GB2312"/>
                <w:color w:val="auto"/>
                <w:spacing w:val="5"/>
              </w:rPr>
              <w:t>）</w:t>
            </w:r>
          </w:p>
        </w:tc>
        <w:tc>
          <w:tcPr>
            <w:tcW w:w="570" w:type="pct"/>
            <w:vAlign w:val="center"/>
          </w:tcPr>
          <w:p w14:paraId="4ABFEE34">
            <w:pPr>
              <w:spacing w:line="424" w:lineRule="auto"/>
              <w:jc w:val="center"/>
              <w:rPr>
                <w:rFonts w:hint="eastAsia" w:ascii="仿宋_GB2312" w:hAnsi="仿宋_GB2312" w:eastAsia="仿宋_GB2312" w:cs="仿宋_GB2312"/>
                <w:color w:val="auto"/>
                <w:sz w:val="21"/>
              </w:rPr>
            </w:pPr>
          </w:p>
          <w:p w14:paraId="45010752">
            <w:pPr>
              <w:pStyle w:val="15"/>
              <w:spacing w:before="78"/>
              <w:jc w:val="center"/>
              <w:rPr>
                <w:rFonts w:hint="eastAsia" w:ascii="仿宋_GB2312" w:hAnsi="仿宋_GB2312" w:eastAsia="仿宋_GB2312" w:cs="仿宋_GB2312"/>
                <w:color w:val="auto"/>
              </w:rPr>
            </w:pPr>
            <w:r>
              <w:rPr>
                <w:rFonts w:hint="eastAsia" w:ascii="仿宋_GB2312" w:hAnsi="仿宋_GB2312" w:eastAsia="仿宋_GB2312" w:cs="仿宋_GB2312"/>
                <w:color w:val="auto"/>
                <w:spacing w:val="-7"/>
              </w:rPr>
              <w:t>≤300</w:t>
            </w:r>
          </w:p>
        </w:tc>
        <w:tc>
          <w:tcPr>
            <w:tcW w:w="642" w:type="pct"/>
            <w:vAlign w:val="center"/>
          </w:tcPr>
          <w:p w14:paraId="0F197856">
            <w:pPr>
              <w:pStyle w:val="15"/>
              <w:spacing w:before="193" w:line="219" w:lineRule="auto"/>
              <w:jc w:val="center"/>
              <w:rPr>
                <w:rFonts w:hint="eastAsia" w:ascii="仿宋_GB2312" w:hAnsi="仿宋_GB2312" w:eastAsia="仿宋_GB2312" w:cs="仿宋_GB2312"/>
                <w:color w:val="auto"/>
              </w:rPr>
            </w:pPr>
            <w:r>
              <w:rPr>
                <w:rFonts w:hint="eastAsia" w:ascii="仿宋_GB2312" w:hAnsi="仿宋_GB2312" w:eastAsia="仿宋_GB2312" w:cs="仿宋_GB2312"/>
                <w:color w:val="auto"/>
                <w:spacing w:val="-5"/>
              </w:rPr>
              <w:t>满足国家</w:t>
            </w:r>
            <w:r>
              <w:rPr>
                <w:rFonts w:hint="eastAsia" w:ascii="仿宋_GB2312" w:hAnsi="仿宋_GB2312" w:eastAsia="仿宋_GB2312" w:cs="仿宋_GB2312"/>
                <w:color w:val="auto"/>
                <w:spacing w:val="-4"/>
              </w:rPr>
              <w:t>和地方政</w:t>
            </w:r>
            <w:r>
              <w:rPr>
                <w:rFonts w:hint="eastAsia" w:ascii="仿宋_GB2312" w:hAnsi="仿宋_GB2312" w:eastAsia="仿宋_GB2312" w:cs="仿宋_GB2312"/>
                <w:color w:val="auto"/>
                <w:spacing w:val="-7"/>
              </w:rPr>
              <w:t>策要求</w:t>
            </w:r>
          </w:p>
        </w:tc>
        <w:tc>
          <w:tcPr>
            <w:tcW w:w="513" w:type="pct"/>
            <w:vAlign w:val="center"/>
          </w:tcPr>
          <w:p w14:paraId="24E02EDD">
            <w:pPr>
              <w:pStyle w:val="15"/>
              <w:spacing w:before="78" w:line="219" w:lineRule="auto"/>
              <w:jc w:val="center"/>
              <w:rPr>
                <w:rFonts w:hint="eastAsia" w:ascii="仿宋_GB2312" w:hAnsi="仿宋_GB2312" w:eastAsia="仿宋_GB2312" w:cs="仿宋_GB2312"/>
                <w:color w:val="auto"/>
              </w:rPr>
            </w:pPr>
            <w:r>
              <w:rPr>
                <w:rFonts w:hint="eastAsia" w:ascii="仿宋_GB2312" w:hAnsi="仿宋_GB2312" w:eastAsia="仿宋_GB2312" w:cs="仿宋_GB2312"/>
                <w:color w:val="auto"/>
                <w:spacing w:val="-6"/>
              </w:rPr>
              <w:t>约束性</w:t>
            </w:r>
          </w:p>
        </w:tc>
      </w:tr>
      <w:tr w14:paraId="4A0A9C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9" w:hRule="atLeast"/>
          <w:jc w:val="center"/>
        </w:trPr>
        <w:tc>
          <w:tcPr>
            <w:tcW w:w="373" w:type="pct"/>
            <w:vAlign w:val="center"/>
          </w:tcPr>
          <w:p w14:paraId="7CFD3BEA">
            <w:pPr>
              <w:spacing w:line="315" w:lineRule="auto"/>
              <w:jc w:val="center"/>
              <w:rPr>
                <w:rFonts w:hint="eastAsia" w:ascii="仿宋_GB2312" w:hAnsi="仿宋_GB2312" w:eastAsia="仿宋_GB2312" w:cs="仿宋_GB2312"/>
                <w:color w:val="auto"/>
                <w:sz w:val="21"/>
              </w:rPr>
            </w:pPr>
          </w:p>
          <w:p w14:paraId="67806736">
            <w:pPr>
              <w:spacing w:before="69" w:line="1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p>
        </w:tc>
        <w:tc>
          <w:tcPr>
            <w:tcW w:w="303" w:type="pct"/>
            <w:vMerge w:val="continue"/>
            <w:tcBorders>
              <w:top w:val="nil"/>
              <w:bottom w:val="nil"/>
            </w:tcBorders>
            <w:vAlign w:val="center"/>
          </w:tcPr>
          <w:p w14:paraId="4381DC9F">
            <w:pPr>
              <w:jc w:val="center"/>
              <w:rPr>
                <w:rFonts w:hint="eastAsia" w:ascii="仿宋_GB2312" w:hAnsi="仿宋_GB2312" w:eastAsia="仿宋_GB2312" w:cs="仿宋_GB2312"/>
                <w:color w:val="auto"/>
                <w:sz w:val="21"/>
              </w:rPr>
            </w:pPr>
          </w:p>
        </w:tc>
        <w:tc>
          <w:tcPr>
            <w:tcW w:w="2596" w:type="pct"/>
            <w:vAlign w:val="center"/>
          </w:tcPr>
          <w:p w14:paraId="621F6955">
            <w:pPr>
              <w:pStyle w:val="15"/>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spacing w:val="5"/>
              </w:rPr>
              <w:t>装配式建筑施工现场建筑垃圾（不包括工程渣土、工程泥浆）（吨/万</w:t>
            </w:r>
            <w:r>
              <w:rPr>
                <w:rFonts w:hint="eastAsia" w:ascii="仿宋_GB2312" w:hAnsi="仿宋_GB2312" w:eastAsia="仿宋_GB2312" w:cs="仿宋_GB2312"/>
                <w:color w:val="auto"/>
                <w:spacing w:val="5"/>
                <w:lang w:val="en-US" w:eastAsia="zh-CN"/>
              </w:rPr>
              <w:t>m</w:t>
            </w:r>
            <w:r>
              <w:rPr>
                <w:rFonts w:hint="eastAsia" w:ascii="仿宋_GB2312" w:hAnsi="仿宋_GB2312" w:eastAsia="仿宋_GB2312" w:cs="仿宋_GB2312"/>
                <w:color w:val="auto"/>
                <w:spacing w:val="5"/>
                <w:vertAlign w:val="superscript"/>
                <w:lang w:val="en-US" w:eastAsia="zh-CN"/>
              </w:rPr>
              <w:t>2</w:t>
            </w:r>
            <w:r>
              <w:rPr>
                <w:rFonts w:hint="eastAsia" w:ascii="仿宋_GB2312" w:hAnsi="仿宋_GB2312" w:eastAsia="仿宋_GB2312" w:cs="仿宋_GB2312"/>
                <w:color w:val="auto"/>
                <w:spacing w:val="5"/>
              </w:rPr>
              <w:t>）</w:t>
            </w:r>
          </w:p>
        </w:tc>
        <w:tc>
          <w:tcPr>
            <w:tcW w:w="570" w:type="pct"/>
            <w:vAlign w:val="center"/>
          </w:tcPr>
          <w:p w14:paraId="2AD6F2B9">
            <w:pPr>
              <w:pStyle w:val="15"/>
              <w:spacing w:before="78"/>
              <w:jc w:val="center"/>
              <w:rPr>
                <w:rFonts w:hint="eastAsia" w:ascii="仿宋_GB2312" w:hAnsi="仿宋_GB2312" w:eastAsia="仿宋_GB2312" w:cs="仿宋_GB2312"/>
                <w:color w:val="auto"/>
              </w:rPr>
            </w:pPr>
            <w:r>
              <w:rPr>
                <w:rFonts w:hint="eastAsia" w:ascii="仿宋_GB2312" w:hAnsi="仿宋_GB2312" w:eastAsia="仿宋_GB2312" w:cs="仿宋_GB2312"/>
                <w:color w:val="auto"/>
                <w:spacing w:val="-7"/>
              </w:rPr>
              <w:t>≤200</w:t>
            </w:r>
          </w:p>
        </w:tc>
        <w:tc>
          <w:tcPr>
            <w:tcW w:w="642" w:type="pct"/>
            <w:vAlign w:val="center"/>
          </w:tcPr>
          <w:p w14:paraId="2E40D07D">
            <w:pPr>
              <w:pStyle w:val="15"/>
              <w:spacing w:before="78" w:line="219" w:lineRule="auto"/>
              <w:jc w:val="center"/>
              <w:rPr>
                <w:rFonts w:hint="eastAsia" w:ascii="仿宋_GB2312" w:hAnsi="仿宋_GB2312" w:eastAsia="仿宋_GB2312" w:cs="仿宋_GB2312"/>
                <w:color w:val="auto"/>
              </w:rPr>
            </w:pPr>
            <w:r>
              <w:rPr>
                <w:rFonts w:hint="eastAsia" w:ascii="仿宋_GB2312" w:hAnsi="仿宋_GB2312" w:eastAsia="仿宋_GB2312" w:cs="仿宋_GB2312"/>
                <w:color w:val="auto"/>
                <w:spacing w:val="-5"/>
              </w:rPr>
              <w:t>满足国家</w:t>
            </w:r>
            <w:r>
              <w:rPr>
                <w:rFonts w:hint="eastAsia" w:ascii="仿宋_GB2312" w:hAnsi="仿宋_GB2312" w:eastAsia="仿宋_GB2312" w:cs="仿宋_GB2312"/>
                <w:color w:val="auto"/>
                <w:spacing w:val="-4"/>
              </w:rPr>
              <w:t>和地方政</w:t>
            </w:r>
            <w:r>
              <w:rPr>
                <w:rFonts w:hint="eastAsia" w:ascii="仿宋_GB2312" w:hAnsi="仿宋_GB2312" w:eastAsia="仿宋_GB2312" w:cs="仿宋_GB2312"/>
                <w:color w:val="auto"/>
                <w:spacing w:val="-7"/>
              </w:rPr>
              <w:t>策要求</w:t>
            </w:r>
          </w:p>
        </w:tc>
        <w:tc>
          <w:tcPr>
            <w:tcW w:w="513" w:type="pct"/>
            <w:vAlign w:val="center"/>
          </w:tcPr>
          <w:p w14:paraId="2B3411C9">
            <w:pPr>
              <w:pStyle w:val="15"/>
              <w:spacing w:before="78" w:line="219" w:lineRule="auto"/>
              <w:jc w:val="center"/>
              <w:rPr>
                <w:rFonts w:hint="eastAsia" w:ascii="仿宋_GB2312" w:hAnsi="仿宋_GB2312" w:eastAsia="仿宋_GB2312" w:cs="仿宋_GB2312"/>
                <w:color w:val="auto"/>
              </w:rPr>
            </w:pPr>
            <w:r>
              <w:rPr>
                <w:rFonts w:hint="eastAsia" w:ascii="仿宋_GB2312" w:hAnsi="仿宋_GB2312" w:eastAsia="仿宋_GB2312" w:cs="仿宋_GB2312"/>
                <w:color w:val="auto"/>
                <w:spacing w:val="-6"/>
              </w:rPr>
              <w:t>约束性</w:t>
            </w:r>
          </w:p>
        </w:tc>
      </w:tr>
      <w:tr w14:paraId="42E0B0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jc w:val="center"/>
        </w:trPr>
        <w:tc>
          <w:tcPr>
            <w:tcW w:w="373" w:type="pct"/>
            <w:vAlign w:val="center"/>
          </w:tcPr>
          <w:p w14:paraId="5CB72103">
            <w:pPr>
              <w:spacing w:before="69" w:line="1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w:t>
            </w:r>
          </w:p>
        </w:tc>
        <w:tc>
          <w:tcPr>
            <w:tcW w:w="303" w:type="pct"/>
            <w:vMerge w:val="continue"/>
            <w:tcBorders>
              <w:top w:val="nil"/>
            </w:tcBorders>
            <w:vAlign w:val="center"/>
          </w:tcPr>
          <w:p w14:paraId="6CEC294F">
            <w:pPr>
              <w:jc w:val="center"/>
              <w:rPr>
                <w:rFonts w:hint="eastAsia" w:ascii="仿宋_GB2312" w:hAnsi="仿宋_GB2312" w:eastAsia="仿宋_GB2312" w:cs="仿宋_GB2312"/>
                <w:color w:val="auto"/>
                <w:sz w:val="21"/>
              </w:rPr>
            </w:pPr>
          </w:p>
        </w:tc>
        <w:tc>
          <w:tcPr>
            <w:tcW w:w="2596" w:type="pct"/>
            <w:vAlign w:val="center"/>
          </w:tcPr>
          <w:p w14:paraId="3522A541">
            <w:pPr>
              <w:pStyle w:val="15"/>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eastAsia" w:ascii="仿宋_GB2312" w:hAnsi="仿宋_GB2312" w:eastAsia="仿宋_GB2312" w:cs="仿宋_GB2312"/>
                <w:color w:val="auto"/>
                <w:spacing w:val="5"/>
              </w:rPr>
            </w:pPr>
            <w:r>
              <w:rPr>
                <w:rFonts w:hint="eastAsia" w:ascii="仿宋_GB2312" w:hAnsi="仿宋_GB2312" w:eastAsia="仿宋_GB2312" w:cs="仿宋_GB2312"/>
                <w:color w:val="auto"/>
                <w:spacing w:val="5"/>
              </w:rPr>
              <w:t>装配式建筑面积占建筑比例（%）</w:t>
            </w:r>
          </w:p>
        </w:tc>
        <w:tc>
          <w:tcPr>
            <w:tcW w:w="570" w:type="pct"/>
            <w:vAlign w:val="center"/>
          </w:tcPr>
          <w:p w14:paraId="33084092">
            <w:pPr>
              <w:pStyle w:val="15"/>
              <w:spacing w:before="78"/>
              <w:jc w:val="center"/>
              <w:rPr>
                <w:rFonts w:hint="eastAsia" w:ascii="仿宋_GB2312" w:hAnsi="仿宋_GB2312" w:eastAsia="仿宋_GB2312" w:cs="仿宋_GB2312"/>
                <w:color w:val="auto"/>
              </w:rPr>
            </w:pPr>
            <w:r>
              <w:rPr>
                <w:rFonts w:hint="eastAsia" w:ascii="仿宋_GB2312" w:hAnsi="仿宋_GB2312" w:eastAsia="仿宋_GB2312" w:cs="仿宋_GB2312"/>
                <w:color w:val="auto"/>
                <w:spacing w:val="-11"/>
              </w:rPr>
              <w:t>≥30</w:t>
            </w:r>
          </w:p>
        </w:tc>
        <w:tc>
          <w:tcPr>
            <w:tcW w:w="642" w:type="pct"/>
            <w:vAlign w:val="center"/>
          </w:tcPr>
          <w:p w14:paraId="0006906D">
            <w:pPr>
              <w:pStyle w:val="15"/>
              <w:spacing w:before="78"/>
              <w:jc w:val="center"/>
              <w:rPr>
                <w:rFonts w:hint="eastAsia" w:ascii="仿宋_GB2312" w:hAnsi="仿宋_GB2312" w:eastAsia="仿宋_GB2312" w:cs="仿宋_GB2312"/>
                <w:color w:val="auto"/>
              </w:rPr>
            </w:pPr>
            <w:r>
              <w:rPr>
                <w:rFonts w:hint="eastAsia" w:ascii="仿宋_GB2312" w:hAnsi="仿宋_GB2312" w:eastAsia="仿宋_GB2312" w:cs="仿宋_GB2312"/>
                <w:color w:val="auto"/>
                <w:spacing w:val="-11"/>
              </w:rPr>
              <w:t>≥40</w:t>
            </w:r>
          </w:p>
        </w:tc>
        <w:tc>
          <w:tcPr>
            <w:tcW w:w="513" w:type="pct"/>
            <w:vAlign w:val="center"/>
          </w:tcPr>
          <w:p w14:paraId="775C125F">
            <w:pPr>
              <w:pStyle w:val="15"/>
              <w:spacing w:before="78" w:line="219" w:lineRule="auto"/>
              <w:jc w:val="center"/>
              <w:rPr>
                <w:rFonts w:hint="eastAsia" w:ascii="仿宋_GB2312" w:hAnsi="仿宋_GB2312" w:eastAsia="仿宋_GB2312" w:cs="仿宋_GB2312"/>
                <w:color w:val="auto"/>
              </w:rPr>
            </w:pPr>
            <w:r>
              <w:rPr>
                <w:rFonts w:hint="eastAsia" w:ascii="仿宋_GB2312" w:hAnsi="仿宋_GB2312" w:eastAsia="仿宋_GB2312" w:cs="仿宋_GB2312"/>
                <w:color w:val="auto"/>
                <w:spacing w:val="-6"/>
              </w:rPr>
              <w:t>约束性</w:t>
            </w:r>
          </w:p>
        </w:tc>
      </w:tr>
      <w:tr w14:paraId="4A4313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jc w:val="center"/>
        </w:trPr>
        <w:tc>
          <w:tcPr>
            <w:tcW w:w="373" w:type="pct"/>
            <w:vAlign w:val="center"/>
          </w:tcPr>
          <w:p w14:paraId="373B2541">
            <w:pPr>
              <w:spacing w:before="238" w:line="1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w:t>
            </w:r>
          </w:p>
        </w:tc>
        <w:tc>
          <w:tcPr>
            <w:tcW w:w="303" w:type="pct"/>
            <w:vMerge w:val="restart"/>
            <w:tcBorders>
              <w:bottom w:val="nil"/>
            </w:tcBorders>
            <w:vAlign w:val="center"/>
          </w:tcPr>
          <w:p w14:paraId="10E96980">
            <w:pPr>
              <w:pStyle w:val="15"/>
              <w:spacing w:before="312" w:line="185" w:lineRule="auto"/>
              <w:jc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资</w:t>
            </w:r>
          </w:p>
          <w:p w14:paraId="664C3214">
            <w:pPr>
              <w:pStyle w:val="15"/>
              <w:spacing w:before="312" w:line="185" w:lineRule="auto"/>
              <w:jc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源</w:t>
            </w:r>
          </w:p>
          <w:p w14:paraId="2DDF93BC">
            <w:pPr>
              <w:pStyle w:val="15"/>
              <w:spacing w:before="312" w:line="185" w:lineRule="auto"/>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化</w:t>
            </w:r>
          </w:p>
        </w:tc>
        <w:tc>
          <w:tcPr>
            <w:tcW w:w="2596" w:type="pct"/>
            <w:vAlign w:val="center"/>
          </w:tcPr>
          <w:p w14:paraId="4928BE1D">
            <w:pPr>
              <w:pStyle w:val="15"/>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eastAsia" w:ascii="仿宋_GB2312" w:hAnsi="仿宋_GB2312" w:eastAsia="仿宋_GB2312" w:cs="仿宋_GB2312"/>
                <w:color w:val="auto"/>
                <w:spacing w:val="5"/>
              </w:rPr>
            </w:pPr>
            <w:r>
              <w:rPr>
                <w:rFonts w:hint="eastAsia" w:ascii="仿宋_GB2312" w:hAnsi="仿宋_GB2312" w:eastAsia="仿宋_GB2312" w:cs="仿宋_GB2312"/>
                <w:color w:val="auto"/>
                <w:spacing w:val="5"/>
              </w:rPr>
              <w:t>建筑垃圾综合利用率（%）</w:t>
            </w:r>
          </w:p>
        </w:tc>
        <w:tc>
          <w:tcPr>
            <w:tcW w:w="570" w:type="pct"/>
            <w:vAlign w:val="center"/>
          </w:tcPr>
          <w:p w14:paraId="179982A2">
            <w:pPr>
              <w:pStyle w:val="15"/>
              <w:spacing w:before="197"/>
              <w:jc w:val="center"/>
              <w:rPr>
                <w:rFonts w:hint="default" w:ascii="仿宋_GB2312" w:hAnsi="仿宋_GB2312" w:eastAsia="仿宋_GB2312" w:cs="仿宋_GB2312"/>
                <w:color w:val="auto"/>
                <w:lang w:val="en-US"/>
              </w:rPr>
            </w:pPr>
            <w:r>
              <w:rPr>
                <w:rFonts w:hint="eastAsia" w:ascii="仿宋_GB2312" w:hAnsi="仿宋_GB2312" w:eastAsia="仿宋_GB2312" w:cs="仿宋_GB2312"/>
                <w:color w:val="auto"/>
                <w:spacing w:val="-11"/>
              </w:rPr>
              <w:t>≥</w:t>
            </w:r>
            <w:r>
              <w:rPr>
                <w:rFonts w:hint="eastAsia" w:ascii="仿宋_GB2312" w:hAnsi="仿宋_GB2312" w:eastAsia="仿宋_GB2312" w:cs="仿宋_GB2312"/>
                <w:color w:val="auto"/>
                <w:spacing w:val="-11"/>
                <w:lang w:val="en-US" w:eastAsia="zh-CN"/>
              </w:rPr>
              <w:t>60</w:t>
            </w:r>
          </w:p>
        </w:tc>
        <w:tc>
          <w:tcPr>
            <w:tcW w:w="642" w:type="pct"/>
            <w:vAlign w:val="center"/>
          </w:tcPr>
          <w:p w14:paraId="6B82F8CB">
            <w:pPr>
              <w:pStyle w:val="15"/>
              <w:spacing w:before="196"/>
              <w:jc w:val="center"/>
              <w:rPr>
                <w:rFonts w:hint="default" w:ascii="仿宋_GB2312" w:hAnsi="仿宋_GB2312" w:eastAsia="仿宋_GB2312" w:cs="仿宋_GB2312"/>
                <w:color w:val="auto"/>
                <w:lang w:val="en-US" w:eastAsia="zh-CN"/>
              </w:rPr>
            </w:pPr>
            <w:r>
              <w:rPr>
                <w:rFonts w:hint="eastAsia" w:ascii="仿宋_GB2312" w:hAnsi="仿宋_GB2312" w:eastAsia="仿宋_GB2312" w:cs="仿宋_GB2312"/>
                <w:color w:val="auto"/>
                <w:spacing w:val="-11"/>
              </w:rPr>
              <w:t>≥</w:t>
            </w:r>
            <w:r>
              <w:rPr>
                <w:rFonts w:hint="eastAsia" w:ascii="仿宋_GB2312" w:hAnsi="仿宋_GB2312" w:eastAsia="仿宋_GB2312" w:cs="仿宋_GB2312"/>
                <w:color w:val="auto"/>
                <w:spacing w:val="-11"/>
                <w:lang w:val="en-US" w:eastAsia="zh-CN"/>
              </w:rPr>
              <w:t>65</w:t>
            </w:r>
          </w:p>
        </w:tc>
        <w:tc>
          <w:tcPr>
            <w:tcW w:w="513" w:type="pct"/>
            <w:vAlign w:val="center"/>
          </w:tcPr>
          <w:p w14:paraId="10707190">
            <w:pPr>
              <w:pStyle w:val="15"/>
              <w:spacing w:before="196" w:line="219" w:lineRule="auto"/>
              <w:jc w:val="center"/>
              <w:rPr>
                <w:rFonts w:hint="eastAsia" w:ascii="仿宋_GB2312" w:hAnsi="仿宋_GB2312" w:eastAsia="仿宋_GB2312" w:cs="仿宋_GB2312"/>
                <w:color w:val="auto"/>
              </w:rPr>
            </w:pPr>
            <w:r>
              <w:rPr>
                <w:rFonts w:hint="eastAsia" w:ascii="仿宋_GB2312" w:hAnsi="仿宋_GB2312" w:eastAsia="仿宋_GB2312" w:cs="仿宋_GB2312"/>
                <w:color w:val="auto"/>
                <w:spacing w:val="-6"/>
              </w:rPr>
              <w:t>约束性</w:t>
            </w:r>
          </w:p>
        </w:tc>
      </w:tr>
      <w:tr w14:paraId="5D838C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3" w:hRule="atLeast"/>
          <w:jc w:val="center"/>
        </w:trPr>
        <w:tc>
          <w:tcPr>
            <w:tcW w:w="373" w:type="pct"/>
            <w:vAlign w:val="center"/>
          </w:tcPr>
          <w:p w14:paraId="444FA269">
            <w:pPr>
              <w:spacing w:before="69" w:line="185"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w:t>
            </w:r>
          </w:p>
        </w:tc>
        <w:tc>
          <w:tcPr>
            <w:tcW w:w="303" w:type="pct"/>
            <w:vMerge w:val="continue"/>
            <w:tcBorders>
              <w:top w:val="nil"/>
              <w:bottom w:val="nil"/>
            </w:tcBorders>
            <w:vAlign w:val="center"/>
          </w:tcPr>
          <w:p w14:paraId="11DE8DBB">
            <w:pPr>
              <w:jc w:val="center"/>
              <w:rPr>
                <w:rFonts w:hint="eastAsia" w:ascii="仿宋_GB2312" w:hAnsi="仿宋_GB2312" w:eastAsia="仿宋_GB2312" w:cs="仿宋_GB2312"/>
                <w:color w:val="auto"/>
                <w:sz w:val="21"/>
              </w:rPr>
            </w:pPr>
          </w:p>
        </w:tc>
        <w:tc>
          <w:tcPr>
            <w:tcW w:w="2596" w:type="pct"/>
            <w:vAlign w:val="center"/>
          </w:tcPr>
          <w:p w14:paraId="01F44B4A">
            <w:pPr>
              <w:pStyle w:val="15"/>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eastAsia" w:ascii="仿宋_GB2312" w:hAnsi="仿宋_GB2312" w:eastAsia="仿宋_GB2312" w:cs="仿宋_GB2312"/>
                <w:color w:val="auto"/>
                <w:spacing w:val="5"/>
              </w:rPr>
            </w:pPr>
            <w:r>
              <w:rPr>
                <w:rFonts w:hint="eastAsia" w:ascii="仿宋_GB2312" w:hAnsi="仿宋_GB2312" w:eastAsia="仿宋_GB2312" w:cs="仿宋_GB2312"/>
                <w:color w:val="auto"/>
                <w:spacing w:val="5"/>
              </w:rPr>
              <w:t>工程渣土、工程泥浆垃圾资源化再生利用率</w:t>
            </w:r>
          </w:p>
          <w:p w14:paraId="14881A8E">
            <w:pPr>
              <w:pStyle w:val="15"/>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spacing w:val="5"/>
              </w:rPr>
              <w:t>（%）</w:t>
            </w:r>
          </w:p>
        </w:tc>
        <w:tc>
          <w:tcPr>
            <w:tcW w:w="570" w:type="pct"/>
            <w:vAlign w:val="center"/>
          </w:tcPr>
          <w:p w14:paraId="089FCC8E">
            <w:pPr>
              <w:pStyle w:val="15"/>
              <w:spacing w:before="78"/>
              <w:jc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pacing w:val="-11"/>
              </w:rPr>
              <w:t>≥</w:t>
            </w:r>
            <w:r>
              <w:rPr>
                <w:rFonts w:hint="eastAsia" w:ascii="仿宋_GB2312" w:hAnsi="仿宋_GB2312" w:eastAsia="仿宋_GB2312" w:cs="仿宋_GB2312"/>
                <w:color w:val="auto"/>
                <w:spacing w:val="-11"/>
                <w:lang w:val="en-US" w:eastAsia="zh-CN"/>
              </w:rPr>
              <w:t>50</w:t>
            </w:r>
          </w:p>
        </w:tc>
        <w:tc>
          <w:tcPr>
            <w:tcW w:w="642" w:type="pct"/>
            <w:vAlign w:val="center"/>
          </w:tcPr>
          <w:p w14:paraId="29F82EE8">
            <w:pPr>
              <w:pStyle w:val="15"/>
              <w:spacing w:before="78"/>
              <w:ind w:firstLine="218" w:firstLineChars="100"/>
              <w:jc w:val="both"/>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pacing w:val="-11"/>
              </w:rPr>
              <w:t>≥</w:t>
            </w:r>
            <w:r>
              <w:rPr>
                <w:rFonts w:hint="eastAsia" w:ascii="仿宋_GB2312" w:hAnsi="仿宋_GB2312" w:eastAsia="仿宋_GB2312" w:cs="仿宋_GB2312"/>
                <w:color w:val="auto"/>
                <w:spacing w:val="-11"/>
                <w:lang w:val="en-US" w:eastAsia="zh-CN"/>
              </w:rPr>
              <w:t>50</w:t>
            </w:r>
          </w:p>
        </w:tc>
        <w:tc>
          <w:tcPr>
            <w:tcW w:w="513" w:type="pct"/>
            <w:vAlign w:val="center"/>
          </w:tcPr>
          <w:p w14:paraId="558C8CDD">
            <w:pPr>
              <w:pStyle w:val="15"/>
              <w:spacing w:before="78" w:line="219" w:lineRule="auto"/>
              <w:jc w:val="center"/>
              <w:rPr>
                <w:rFonts w:hint="eastAsia" w:ascii="仿宋_GB2312" w:hAnsi="仿宋_GB2312" w:eastAsia="仿宋_GB2312" w:cs="仿宋_GB2312"/>
                <w:color w:val="auto"/>
              </w:rPr>
            </w:pPr>
            <w:r>
              <w:rPr>
                <w:rFonts w:hint="eastAsia" w:ascii="仿宋_GB2312" w:hAnsi="仿宋_GB2312" w:eastAsia="仿宋_GB2312" w:cs="仿宋_GB2312"/>
                <w:color w:val="auto"/>
                <w:spacing w:val="-6"/>
              </w:rPr>
              <w:t>预期性</w:t>
            </w:r>
          </w:p>
        </w:tc>
      </w:tr>
      <w:tr w14:paraId="5B84A3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 w:hRule="atLeast"/>
          <w:jc w:val="center"/>
        </w:trPr>
        <w:tc>
          <w:tcPr>
            <w:tcW w:w="373" w:type="pct"/>
            <w:vAlign w:val="center"/>
          </w:tcPr>
          <w:p w14:paraId="0B03FD30">
            <w:pPr>
              <w:spacing w:before="69" w:line="1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w:t>
            </w:r>
          </w:p>
        </w:tc>
        <w:tc>
          <w:tcPr>
            <w:tcW w:w="303" w:type="pct"/>
            <w:vMerge w:val="continue"/>
            <w:tcBorders>
              <w:top w:val="nil"/>
            </w:tcBorders>
            <w:vAlign w:val="center"/>
          </w:tcPr>
          <w:p w14:paraId="3DD3B9DE">
            <w:pPr>
              <w:jc w:val="center"/>
              <w:rPr>
                <w:rFonts w:hint="eastAsia" w:ascii="仿宋_GB2312" w:hAnsi="仿宋_GB2312" w:eastAsia="仿宋_GB2312" w:cs="仿宋_GB2312"/>
                <w:color w:val="auto"/>
                <w:sz w:val="21"/>
              </w:rPr>
            </w:pPr>
          </w:p>
        </w:tc>
        <w:tc>
          <w:tcPr>
            <w:tcW w:w="2596" w:type="pct"/>
            <w:vAlign w:val="center"/>
          </w:tcPr>
          <w:p w14:paraId="3174A7C4">
            <w:pPr>
              <w:pStyle w:val="15"/>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spacing w:val="5"/>
              </w:rPr>
              <w:t>拆除、工程、装修垃圾</w:t>
            </w:r>
            <w:r>
              <w:rPr>
                <w:rFonts w:hint="eastAsia" w:ascii="仿宋_GB2312" w:hAnsi="仿宋_GB2312" w:eastAsia="仿宋_GB2312" w:cs="仿宋_GB2312"/>
                <w:color w:val="auto"/>
                <w:spacing w:val="5"/>
                <w:lang w:eastAsia="zh-CN"/>
              </w:rPr>
              <w:t>综合</w:t>
            </w:r>
            <w:r>
              <w:rPr>
                <w:rFonts w:hint="eastAsia" w:ascii="仿宋_GB2312" w:hAnsi="仿宋_GB2312" w:eastAsia="仿宋_GB2312" w:cs="仿宋_GB2312"/>
                <w:color w:val="auto"/>
                <w:spacing w:val="5"/>
              </w:rPr>
              <w:t>利用率</w:t>
            </w:r>
            <w:r>
              <w:rPr>
                <w:rFonts w:hint="eastAsia" w:ascii="仿宋_GB2312" w:hAnsi="仿宋_GB2312" w:eastAsia="仿宋_GB2312" w:cs="仿宋_GB2312"/>
                <w:color w:val="auto"/>
                <w:spacing w:val="-5"/>
              </w:rPr>
              <w:t>（%）</w:t>
            </w:r>
          </w:p>
        </w:tc>
        <w:tc>
          <w:tcPr>
            <w:tcW w:w="570" w:type="pct"/>
            <w:vAlign w:val="center"/>
          </w:tcPr>
          <w:p w14:paraId="22996182">
            <w:pPr>
              <w:pStyle w:val="15"/>
              <w:spacing w:before="78"/>
              <w:jc w:val="center"/>
              <w:rPr>
                <w:rFonts w:hint="eastAsia" w:ascii="仿宋_GB2312" w:hAnsi="仿宋_GB2312" w:eastAsia="仿宋_GB2312" w:cs="仿宋_GB2312"/>
                <w:color w:val="auto"/>
              </w:rPr>
            </w:pPr>
            <w:r>
              <w:rPr>
                <w:rFonts w:hint="eastAsia" w:ascii="仿宋_GB2312" w:hAnsi="仿宋_GB2312" w:eastAsia="仿宋_GB2312" w:cs="仿宋_GB2312"/>
                <w:color w:val="auto"/>
                <w:spacing w:val="-11"/>
              </w:rPr>
              <w:t>≥</w:t>
            </w:r>
            <w:r>
              <w:rPr>
                <w:rFonts w:hint="eastAsia" w:ascii="仿宋_GB2312" w:hAnsi="仿宋_GB2312" w:eastAsia="仿宋_GB2312" w:cs="仿宋_GB2312"/>
                <w:color w:val="auto"/>
                <w:spacing w:val="-11"/>
                <w:lang w:val="en-US" w:eastAsia="zh-CN"/>
              </w:rPr>
              <w:t>50</w:t>
            </w:r>
          </w:p>
        </w:tc>
        <w:tc>
          <w:tcPr>
            <w:tcW w:w="642" w:type="pct"/>
            <w:vAlign w:val="center"/>
          </w:tcPr>
          <w:p w14:paraId="05DB5BAE">
            <w:pPr>
              <w:pStyle w:val="15"/>
              <w:spacing w:before="78"/>
              <w:jc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spacing w:val="-11"/>
              </w:rPr>
              <w:t>≥</w:t>
            </w:r>
            <w:r>
              <w:rPr>
                <w:rFonts w:hint="eastAsia" w:ascii="仿宋_GB2312" w:hAnsi="仿宋_GB2312" w:eastAsia="仿宋_GB2312" w:cs="仿宋_GB2312"/>
                <w:color w:val="auto"/>
                <w:spacing w:val="-11"/>
                <w:lang w:val="en-US" w:eastAsia="zh-CN"/>
              </w:rPr>
              <w:t>70</w:t>
            </w:r>
          </w:p>
        </w:tc>
        <w:tc>
          <w:tcPr>
            <w:tcW w:w="513" w:type="pct"/>
            <w:vAlign w:val="center"/>
          </w:tcPr>
          <w:p w14:paraId="09C3D185">
            <w:pPr>
              <w:pStyle w:val="15"/>
              <w:spacing w:before="78" w:line="219" w:lineRule="auto"/>
              <w:jc w:val="center"/>
              <w:rPr>
                <w:rFonts w:hint="eastAsia" w:ascii="仿宋_GB2312" w:hAnsi="仿宋_GB2312" w:eastAsia="仿宋_GB2312" w:cs="仿宋_GB2312"/>
                <w:color w:val="auto"/>
              </w:rPr>
            </w:pPr>
            <w:r>
              <w:rPr>
                <w:rFonts w:hint="eastAsia" w:ascii="仿宋_GB2312" w:hAnsi="仿宋_GB2312" w:eastAsia="仿宋_GB2312" w:cs="仿宋_GB2312"/>
                <w:color w:val="auto"/>
                <w:spacing w:val="-6"/>
              </w:rPr>
              <w:t>约束性</w:t>
            </w:r>
          </w:p>
        </w:tc>
      </w:tr>
      <w:tr w14:paraId="0CCA79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8" w:hRule="atLeast"/>
          <w:jc w:val="center"/>
        </w:trPr>
        <w:tc>
          <w:tcPr>
            <w:tcW w:w="373" w:type="pct"/>
            <w:vAlign w:val="center"/>
          </w:tcPr>
          <w:p w14:paraId="3B36153D">
            <w:pPr>
              <w:spacing w:before="157" w:line="185"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w:t>
            </w:r>
          </w:p>
        </w:tc>
        <w:tc>
          <w:tcPr>
            <w:tcW w:w="303" w:type="pct"/>
            <w:vMerge w:val="restart"/>
            <w:tcBorders>
              <w:bottom w:val="nil"/>
            </w:tcBorders>
            <w:vAlign w:val="center"/>
          </w:tcPr>
          <w:p w14:paraId="1BB24FCC">
            <w:pPr>
              <w:pStyle w:val="15"/>
              <w:spacing w:before="313" w:line="187" w:lineRule="auto"/>
              <w:jc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无</w:t>
            </w:r>
          </w:p>
          <w:p w14:paraId="6A51744F">
            <w:pPr>
              <w:pStyle w:val="15"/>
              <w:spacing w:before="313" w:line="187" w:lineRule="auto"/>
              <w:jc w:val="center"/>
              <w:rPr>
                <w:rFonts w:hint="eastAsia" w:ascii="仿宋_GB2312" w:hAnsi="仿宋_GB2312" w:eastAsia="仿宋_GB2312" w:cs="仿宋_GB2312"/>
                <w:color w:val="auto"/>
                <w:lang w:val="en-US" w:eastAsia="zh-CN"/>
              </w:rPr>
            </w:pPr>
            <w:r>
              <w:rPr>
                <w:rFonts w:hint="eastAsia" w:ascii="仿宋_GB2312" w:hAnsi="仿宋_GB2312" w:eastAsia="仿宋_GB2312" w:cs="仿宋_GB2312"/>
                <w:color w:val="auto"/>
              </w:rPr>
              <w:t>害</w:t>
            </w:r>
          </w:p>
          <w:p w14:paraId="6385E73F">
            <w:pPr>
              <w:pStyle w:val="15"/>
              <w:spacing w:before="313" w:line="187" w:lineRule="auto"/>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化</w:t>
            </w:r>
          </w:p>
        </w:tc>
        <w:tc>
          <w:tcPr>
            <w:tcW w:w="2596" w:type="pct"/>
            <w:vAlign w:val="center"/>
          </w:tcPr>
          <w:p w14:paraId="72EDC9F4">
            <w:pPr>
              <w:pStyle w:val="15"/>
              <w:spacing w:before="112" w:line="219" w:lineRule="auto"/>
              <w:jc w:val="center"/>
              <w:rPr>
                <w:rFonts w:hint="eastAsia" w:ascii="仿宋_GB2312" w:hAnsi="仿宋_GB2312" w:eastAsia="仿宋_GB2312" w:cs="仿宋_GB2312"/>
                <w:color w:val="auto"/>
              </w:rPr>
            </w:pPr>
            <w:r>
              <w:rPr>
                <w:rFonts w:hint="eastAsia" w:ascii="仿宋_GB2312" w:hAnsi="仿宋_GB2312" w:eastAsia="仿宋_GB2312" w:cs="仿宋_GB2312"/>
                <w:color w:val="auto"/>
                <w:spacing w:val="-5"/>
              </w:rPr>
              <w:t>建筑垃圾收运率（%）</w:t>
            </w:r>
          </w:p>
        </w:tc>
        <w:tc>
          <w:tcPr>
            <w:tcW w:w="570" w:type="pct"/>
            <w:vAlign w:val="center"/>
          </w:tcPr>
          <w:p w14:paraId="11BE80EB">
            <w:pPr>
              <w:spacing w:before="154" w:line="188" w:lineRule="auto"/>
              <w:jc w:val="center"/>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pacing w:val="-11"/>
              </w:rPr>
              <w:t>≥</w:t>
            </w:r>
            <w:r>
              <w:rPr>
                <w:rFonts w:hint="eastAsia" w:ascii="仿宋_GB2312" w:hAnsi="仿宋_GB2312" w:eastAsia="仿宋_GB2312" w:cs="仿宋_GB2312"/>
                <w:color w:val="auto"/>
                <w:spacing w:val="-11"/>
                <w:lang w:val="en-US" w:eastAsia="zh-CN"/>
              </w:rPr>
              <w:t>90</w:t>
            </w:r>
          </w:p>
        </w:tc>
        <w:tc>
          <w:tcPr>
            <w:tcW w:w="642" w:type="pct"/>
            <w:vAlign w:val="center"/>
          </w:tcPr>
          <w:p w14:paraId="4E0C64C6">
            <w:pPr>
              <w:spacing w:before="154" w:line="1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pacing w:val="-10"/>
                <w:sz w:val="24"/>
                <w:szCs w:val="24"/>
              </w:rPr>
              <w:t>100</w:t>
            </w:r>
          </w:p>
        </w:tc>
        <w:tc>
          <w:tcPr>
            <w:tcW w:w="513" w:type="pct"/>
            <w:vAlign w:val="center"/>
          </w:tcPr>
          <w:p w14:paraId="10C60DEB">
            <w:pPr>
              <w:pStyle w:val="15"/>
              <w:spacing w:before="112" w:line="219" w:lineRule="auto"/>
              <w:jc w:val="center"/>
              <w:rPr>
                <w:rFonts w:hint="eastAsia" w:ascii="仿宋_GB2312" w:hAnsi="仿宋_GB2312" w:eastAsia="仿宋_GB2312" w:cs="仿宋_GB2312"/>
                <w:color w:val="auto"/>
              </w:rPr>
            </w:pPr>
            <w:r>
              <w:rPr>
                <w:rFonts w:hint="eastAsia" w:ascii="仿宋_GB2312" w:hAnsi="仿宋_GB2312" w:eastAsia="仿宋_GB2312" w:cs="仿宋_GB2312"/>
                <w:color w:val="auto"/>
                <w:spacing w:val="-6"/>
              </w:rPr>
              <w:t>约束性</w:t>
            </w:r>
          </w:p>
        </w:tc>
      </w:tr>
      <w:tr w14:paraId="41C8FA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7" w:hRule="atLeast"/>
          <w:jc w:val="center"/>
        </w:trPr>
        <w:tc>
          <w:tcPr>
            <w:tcW w:w="373" w:type="pct"/>
            <w:vAlign w:val="center"/>
          </w:tcPr>
          <w:p w14:paraId="12DB143C">
            <w:pPr>
              <w:spacing w:before="237" w:line="1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w:t>
            </w:r>
          </w:p>
        </w:tc>
        <w:tc>
          <w:tcPr>
            <w:tcW w:w="303" w:type="pct"/>
            <w:vMerge w:val="continue"/>
            <w:tcBorders>
              <w:top w:val="nil"/>
              <w:bottom w:val="nil"/>
            </w:tcBorders>
            <w:vAlign w:val="center"/>
          </w:tcPr>
          <w:p w14:paraId="71BB4A7B">
            <w:pPr>
              <w:jc w:val="center"/>
              <w:rPr>
                <w:rFonts w:hint="eastAsia" w:ascii="仿宋_GB2312" w:hAnsi="仿宋_GB2312" w:eastAsia="仿宋_GB2312" w:cs="仿宋_GB2312"/>
                <w:color w:val="auto"/>
                <w:sz w:val="21"/>
              </w:rPr>
            </w:pPr>
          </w:p>
        </w:tc>
        <w:tc>
          <w:tcPr>
            <w:tcW w:w="2596" w:type="pct"/>
            <w:vAlign w:val="center"/>
          </w:tcPr>
          <w:p w14:paraId="79DE7298">
            <w:pPr>
              <w:pStyle w:val="15"/>
              <w:spacing w:before="41" w:line="222" w:lineRule="auto"/>
              <w:ind w:left="126" w:right="106" w:hanging="7"/>
              <w:jc w:val="center"/>
              <w:rPr>
                <w:rFonts w:hint="eastAsia" w:ascii="仿宋_GB2312" w:hAnsi="仿宋_GB2312" w:eastAsia="仿宋_GB2312" w:cs="仿宋_GB2312"/>
                <w:color w:val="auto"/>
              </w:rPr>
            </w:pPr>
            <w:r>
              <w:rPr>
                <w:rFonts w:hint="eastAsia" w:ascii="仿宋_GB2312" w:hAnsi="仿宋_GB2312" w:eastAsia="仿宋_GB2312" w:cs="仿宋_GB2312"/>
                <w:color w:val="auto"/>
                <w:spacing w:val="5"/>
              </w:rPr>
              <w:t>建筑垃圾密闭化运输</w:t>
            </w:r>
            <w:r>
              <w:rPr>
                <w:rFonts w:hint="eastAsia" w:ascii="仿宋_GB2312" w:hAnsi="仿宋_GB2312" w:eastAsia="仿宋_GB2312" w:cs="仿宋_GB2312"/>
                <w:color w:val="auto"/>
                <w:spacing w:val="-6"/>
              </w:rPr>
              <w:t>率（%）</w:t>
            </w:r>
          </w:p>
        </w:tc>
        <w:tc>
          <w:tcPr>
            <w:tcW w:w="570" w:type="pct"/>
            <w:vAlign w:val="center"/>
          </w:tcPr>
          <w:p w14:paraId="3A28489C">
            <w:pPr>
              <w:spacing w:before="237" w:line="1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pacing w:val="-10"/>
                <w:sz w:val="24"/>
                <w:szCs w:val="24"/>
              </w:rPr>
              <w:t>100</w:t>
            </w:r>
          </w:p>
        </w:tc>
        <w:tc>
          <w:tcPr>
            <w:tcW w:w="642" w:type="pct"/>
            <w:vAlign w:val="center"/>
          </w:tcPr>
          <w:p w14:paraId="02DF4BF9">
            <w:pPr>
              <w:spacing w:before="237" w:line="1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pacing w:val="-10"/>
                <w:sz w:val="24"/>
                <w:szCs w:val="24"/>
              </w:rPr>
              <w:t>100</w:t>
            </w:r>
          </w:p>
        </w:tc>
        <w:tc>
          <w:tcPr>
            <w:tcW w:w="513" w:type="pct"/>
            <w:vAlign w:val="center"/>
          </w:tcPr>
          <w:p w14:paraId="2154797F">
            <w:pPr>
              <w:pStyle w:val="15"/>
              <w:spacing w:before="197" w:line="219" w:lineRule="auto"/>
              <w:jc w:val="center"/>
              <w:rPr>
                <w:rFonts w:hint="eastAsia" w:ascii="仿宋_GB2312" w:hAnsi="仿宋_GB2312" w:eastAsia="仿宋_GB2312" w:cs="仿宋_GB2312"/>
                <w:color w:val="auto"/>
              </w:rPr>
            </w:pPr>
            <w:r>
              <w:rPr>
                <w:rFonts w:hint="eastAsia" w:ascii="仿宋_GB2312" w:hAnsi="仿宋_GB2312" w:eastAsia="仿宋_GB2312" w:cs="仿宋_GB2312"/>
                <w:color w:val="auto"/>
                <w:spacing w:val="-6"/>
              </w:rPr>
              <w:t>约束性</w:t>
            </w:r>
          </w:p>
        </w:tc>
      </w:tr>
      <w:tr w14:paraId="4D8E8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jc w:val="center"/>
        </w:trPr>
        <w:tc>
          <w:tcPr>
            <w:tcW w:w="373" w:type="pct"/>
            <w:vAlign w:val="center"/>
          </w:tcPr>
          <w:p w14:paraId="573B2351">
            <w:pPr>
              <w:spacing w:before="239" w:line="1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w:t>
            </w:r>
          </w:p>
        </w:tc>
        <w:tc>
          <w:tcPr>
            <w:tcW w:w="303" w:type="pct"/>
            <w:vMerge w:val="continue"/>
            <w:tcBorders>
              <w:top w:val="nil"/>
            </w:tcBorders>
            <w:vAlign w:val="center"/>
          </w:tcPr>
          <w:p w14:paraId="4607EFFB">
            <w:pPr>
              <w:jc w:val="center"/>
              <w:rPr>
                <w:rFonts w:hint="eastAsia" w:ascii="仿宋_GB2312" w:hAnsi="仿宋_GB2312" w:eastAsia="仿宋_GB2312" w:cs="仿宋_GB2312"/>
                <w:color w:val="auto"/>
                <w:sz w:val="21"/>
              </w:rPr>
            </w:pPr>
          </w:p>
        </w:tc>
        <w:tc>
          <w:tcPr>
            <w:tcW w:w="2596" w:type="pct"/>
            <w:vAlign w:val="center"/>
          </w:tcPr>
          <w:p w14:paraId="271AA4E8">
            <w:pPr>
              <w:pStyle w:val="15"/>
              <w:spacing w:before="41" w:line="222" w:lineRule="auto"/>
              <w:ind w:left="126" w:right="106" w:hanging="7"/>
              <w:jc w:val="center"/>
              <w:rPr>
                <w:rFonts w:hint="eastAsia" w:ascii="仿宋_GB2312" w:hAnsi="仿宋_GB2312" w:eastAsia="仿宋_GB2312" w:cs="仿宋_GB2312"/>
                <w:color w:val="auto"/>
              </w:rPr>
            </w:pPr>
            <w:r>
              <w:rPr>
                <w:rFonts w:hint="eastAsia" w:ascii="仿宋_GB2312" w:hAnsi="仿宋_GB2312" w:eastAsia="仿宋_GB2312" w:cs="仿宋_GB2312"/>
                <w:color w:val="auto"/>
                <w:spacing w:val="5"/>
              </w:rPr>
              <w:t>建筑垃圾无害化处置</w:t>
            </w:r>
            <w:r>
              <w:rPr>
                <w:rFonts w:hint="eastAsia" w:ascii="仿宋_GB2312" w:hAnsi="仿宋_GB2312" w:eastAsia="仿宋_GB2312" w:cs="仿宋_GB2312"/>
                <w:color w:val="auto"/>
                <w:spacing w:val="-6"/>
              </w:rPr>
              <w:t>率（%）</w:t>
            </w:r>
          </w:p>
        </w:tc>
        <w:tc>
          <w:tcPr>
            <w:tcW w:w="570" w:type="pct"/>
            <w:vAlign w:val="center"/>
          </w:tcPr>
          <w:p w14:paraId="6E2FB9C6">
            <w:pPr>
              <w:pStyle w:val="15"/>
              <w:spacing w:before="197"/>
              <w:jc w:val="center"/>
              <w:rPr>
                <w:rFonts w:hint="eastAsia" w:ascii="仿宋_GB2312" w:hAnsi="仿宋_GB2312" w:eastAsia="仿宋_GB2312" w:cs="仿宋_GB2312"/>
                <w:color w:val="auto"/>
              </w:rPr>
            </w:pPr>
            <w:r>
              <w:rPr>
                <w:rFonts w:hint="eastAsia" w:ascii="仿宋_GB2312" w:hAnsi="仿宋_GB2312" w:eastAsia="仿宋_GB2312" w:cs="仿宋_GB2312"/>
                <w:color w:val="auto"/>
                <w:spacing w:val="-11"/>
              </w:rPr>
              <w:t>≥90</w:t>
            </w:r>
          </w:p>
        </w:tc>
        <w:tc>
          <w:tcPr>
            <w:tcW w:w="642" w:type="pct"/>
            <w:vAlign w:val="center"/>
          </w:tcPr>
          <w:p w14:paraId="40C5B661">
            <w:pPr>
              <w:spacing w:before="239" w:line="1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pacing w:val="-10"/>
                <w:sz w:val="24"/>
                <w:szCs w:val="24"/>
              </w:rPr>
              <w:t>100</w:t>
            </w:r>
          </w:p>
        </w:tc>
        <w:tc>
          <w:tcPr>
            <w:tcW w:w="513" w:type="pct"/>
            <w:vAlign w:val="center"/>
          </w:tcPr>
          <w:p w14:paraId="3B20FFE0">
            <w:pPr>
              <w:pStyle w:val="15"/>
              <w:spacing w:before="197" w:line="219" w:lineRule="auto"/>
              <w:jc w:val="center"/>
              <w:rPr>
                <w:rFonts w:hint="eastAsia" w:ascii="仿宋_GB2312" w:hAnsi="仿宋_GB2312" w:eastAsia="仿宋_GB2312" w:cs="仿宋_GB2312"/>
                <w:color w:val="auto"/>
              </w:rPr>
            </w:pPr>
            <w:r>
              <w:rPr>
                <w:rFonts w:hint="eastAsia" w:ascii="仿宋_GB2312" w:hAnsi="仿宋_GB2312" w:eastAsia="仿宋_GB2312" w:cs="仿宋_GB2312"/>
                <w:color w:val="auto"/>
                <w:spacing w:val="-6"/>
              </w:rPr>
              <w:t>约束性</w:t>
            </w:r>
          </w:p>
        </w:tc>
      </w:tr>
      <w:tr w14:paraId="3257562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2" w:hRule="atLeast"/>
          <w:jc w:val="center"/>
        </w:trPr>
        <w:tc>
          <w:tcPr>
            <w:tcW w:w="373" w:type="pct"/>
            <w:vAlign w:val="center"/>
          </w:tcPr>
          <w:p w14:paraId="2A2B7E88">
            <w:pPr>
              <w:spacing w:before="239" w:line="1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pacing w:val="-15"/>
                <w:sz w:val="24"/>
                <w:szCs w:val="24"/>
              </w:rPr>
              <w:t>10</w:t>
            </w:r>
          </w:p>
        </w:tc>
        <w:tc>
          <w:tcPr>
            <w:tcW w:w="303" w:type="pct"/>
            <w:vMerge w:val="restart"/>
            <w:tcBorders>
              <w:bottom w:val="nil"/>
            </w:tcBorders>
            <w:vAlign w:val="center"/>
          </w:tcPr>
          <w:p w14:paraId="04073F27">
            <w:pPr>
              <w:pStyle w:val="15"/>
              <w:autoSpaceDE/>
              <w:autoSpaceDN/>
              <w:spacing w:before="312" w:line="80" w:lineRule="exact"/>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数</w:t>
            </w:r>
          </w:p>
          <w:p w14:paraId="48FCA5AB">
            <w:pPr>
              <w:pStyle w:val="15"/>
              <w:autoSpaceDE/>
              <w:autoSpaceDN/>
              <w:spacing w:before="312" w:line="80" w:lineRule="exact"/>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字</w:t>
            </w:r>
          </w:p>
          <w:p w14:paraId="4E0EF9EB">
            <w:pPr>
              <w:pStyle w:val="15"/>
              <w:autoSpaceDE/>
              <w:autoSpaceDN/>
              <w:spacing w:before="312" w:line="80" w:lineRule="exact"/>
              <w:jc w:val="center"/>
              <w:rPr>
                <w:rFonts w:hint="eastAsia" w:ascii="仿宋_GB2312" w:hAnsi="仿宋_GB2312" w:eastAsia="仿宋_GB2312" w:cs="仿宋_GB2312"/>
                <w:color w:val="auto"/>
              </w:rPr>
            </w:pPr>
            <w:r>
              <w:rPr>
                <w:rFonts w:hint="eastAsia" w:ascii="仿宋_GB2312" w:hAnsi="仿宋_GB2312" w:eastAsia="仿宋_GB2312" w:cs="仿宋_GB2312"/>
                <w:color w:val="auto"/>
              </w:rPr>
              <w:t>化</w:t>
            </w:r>
          </w:p>
        </w:tc>
        <w:tc>
          <w:tcPr>
            <w:tcW w:w="2596" w:type="pct"/>
            <w:vAlign w:val="center"/>
          </w:tcPr>
          <w:p w14:paraId="18E601D5">
            <w:pPr>
              <w:pStyle w:val="15"/>
              <w:keepNext w:val="0"/>
              <w:keepLines w:val="0"/>
              <w:pageBreakBefore w:val="0"/>
              <w:widowControl w:val="0"/>
              <w:kinsoku/>
              <w:wordWrap/>
              <w:overflowPunct/>
              <w:topLinePunct w:val="0"/>
              <w:autoSpaceDE/>
              <w:autoSpaceDN/>
              <w:bidi w:val="0"/>
              <w:adjustRightInd/>
              <w:snapToGrid/>
              <w:spacing w:line="320" w:lineRule="exact"/>
              <w:ind w:left="0" w:right="0"/>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spacing w:val="5"/>
              </w:rPr>
              <w:t>运输车辆车载卫星定</w:t>
            </w:r>
            <w:r>
              <w:rPr>
                <w:rFonts w:hint="eastAsia" w:ascii="仿宋_GB2312" w:hAnsi="仿宋_GB2312" w:eastAsia="仿宋_GB2312" w:cs="仿宋_GB2312"/>
                <w:color w:val="auto"/>
                <w:spacing w:val="-2"/>
              </w:rPr>
              <w:t>位装置接入率（%）</w:t>
            </w:r>
          </w:p>
        </w:tc>
        <w:tc>
          <w:tcPr>
            <w:tcW w:w="570" w:type="pct"/>
            <w:vAlign w:val="center"/>
          </w:tcPr>
          <w:p w14:paraId="6827DE44">
            <w:pPr>
              <w:spacing w:before="239" w:line="1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pacing w:val="-10"/>
                <w:sz w:val="24"/>
                <w:szCs w:val="24"/>
              </w:rPr>
              <w:t>100</w:t>
            </w:r>
          </w:p>
        </w:tc>
        <w:tc>
          <w:tcPr>
            <w:tcW w:w="642" w:type="pct"/>
            <w:vAlign w:val="center"/>
          </w:tcPr>
          <w:p w14:paraId="0339C82C">
            <w:pPr>
              <w:spacing w:before="239" w:line="1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pacing w:val="-10"/>
                <w:sz w:val="24"/>
                <w:szCs w:val="24"/>
              </w:rPr>
              <w:t>100</w:t>
            </w:r>
          </w:p>
        </w:tc>
        <w:tc>
          <w:tcPr>
            <w:tcW w:w="513" w:type="pct"/>
            <w:vAlign w:val="center"/>
          </w:tcPr>
          <w:p w14:paraId="4D586D54">
            <w:pPr>
              <w:pStyle w:val="15"/>
              <w:spacing w:before="197" w:line="219" w:lineRule="auto"/>
              <w:jc w:val="center"/>
              <w:rPr>
                <w:rFonts w:hint="eastAsia" w:ascii="仿宋_GB2312" w:hAnsi="仿宋_GB2312" w:eastAsia="仿宋_GB2312" w:cs="仿宋_GB2312"/>
                <w:color w:val="auto"/>
              </w:rPr>
            </w:pPr>
            <w:r>
              <w:rPr>
                <w:rFonts w:hint="eastAsia" w:ascii="仿宋_GB2312" w:hAnsi="仿宋_GB2312" w:eastAsia="仿宋_GB2312" w:cs="仿宋_GB2312"/>
                <w:color w:val="auto"/>
                <w:spacing w:val="-6"/>
              </w:rPr>
              <w:t>约束性</w:t>
            </w:r>
          </w:p>
        </w:tc>
      </w:tr>
      <w:tr w14:paraId="152768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6" w:hRule="atLeast"/>
          <w:jc w:val="center"/>
        </w:trPr>
        <w:tc>
          <w:tcPr>
            <w:tcW w:w="373" w:type="pct"/>
            <w:tcBorders>
              <w:bottom w:val="single" w:color="auto" w:sz="4" w:space="0"/>
            </w:tcBorders>
            <w:vAlign w:val="center"/>
          </w:tcPr>
          <w:p w14:paraId="36A87282">
            <w:pPr>
              <w:spacing w:before="238" w:line="1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pacing w:val="-15"/>
                <w:sz w:val="24"/>
                <w:szCs w:val="24"/>
              </w:rPr>
              <w:t>11</w:t>
            </w:r>
          </w:p>
        </w:tc>
        <w:tc>
          <w:tcPr>
            <w:tcW w:w="303" w:type="pct"/>
            <w:vMerge w:val="continue"/>
            <w:tcBorders>
              <w:top w:val="nil"/>
              <w:bottom w:val="single" w:color="auto" w:sz="4" w:space="0"/>
            </w:tcBorders>
            <w:vAlign w:val="center"/>
          </w:tcPr>
          <w:p w14:paraId="320CCBB6">
            <w:pPr>
              <w:jc w:val="center"/>
              <w:rPr>
                <w:rFonts w:hint="eastAsia" w:ascii="仿宋_GB2312" w:hAnsi="仿宋_GB2312" w:eastAsia="仿宋_GB2312" w:cs="仿宋_GB2312"/>
                <w:color w:val="auto"/>
                <w:sz w:val="21"/>
              </w:rPr>
            </w:pPr>
          </w:p>
        </w:tc>
        <w:tc>
          <w:tcPr>
            <w:tcW w:w="2596" w:type="pct"/>
            <w:vAlign w:val="center"/>
          </w:tcPr>
          <w:p w14:paraId="2B3E0557">
            <w:pPr>
              <w:pStyle w:val="15"/>
              <w:keepNext w:val="0"/>
              <w:keepLines w:val="0"/>
              <w:pageBreakBefore w:val="0"/>
              <w:widowControl w:val="0"/>
              <w:kinsoku/>
              <w:wordWrap/>
              <w:overflowPunct/>
              <w:topLinePunct w:val="0"/>
              <w:autoSpaceDE/>
              <w:autoSpaceDN/>
              <w:bidi w:val="0"/>
              <w:adjustRightInd/>
              <w:snapToGrid/>
              <w:spacing w:line="320" w:lineRule="exact"/>
              <w:ind w:left="0" w:right="0" w:firstLine="0"/>
              <w:jc w:val="center"/>
              <w:textAlignment w:val="auto"/>
              <w:rPr>
                <w:rFonts w:hint="eastAsia" w:ascii="仿宋_GB2312" w:hAnsi="仿宋_GB2312" w:eastAsia="仿宋_GB2312" w:cs="仿宋_GB2312"/>
                <w:color w:val="auto"/>
              </w:rPr>
            </w:pPr>
            <w:r>
              <w:rPr>
                <w:rFonts w:hint="eastAsia" w:ascii="仿宋_GB2312" w:hAnsi="仿宋_GB2312" w:eastAsia="仿宋_GB2312" w:cs="仿宋_GB2312"/>
                <w:color w:val="auto"/>
                <w:spacing w:val="5"/>
              </w:rPr>
              <w:t>施工工地、填埋消纳</w:t>
            </w:r>
            <w:r>
              <w:rPr>
                <w:rFonts w:hint="eastAsia" w:ascii="仿宋_GB2312" w:hAnsi="仿宋_GB2312" w:eastAsia="仿宋_GB2312" w:cs="仿宋_GB2312"/>
                <w:color w:val="auto"/>
                <w:spacing w:val="-2"/>
              </w:rPr>
              <w:t>场监控接入率（%）</w:t>
            </w:r>
          </w:p>
        </w:tc>
        <w:tc>
          <w:tcPr>
            <w:tcW w:w="570" w:type="pct"/>
            <w:vAlign w:val="center"/>
          </w:tcPr>
          <w:p w14:paraId="75730BA9">
            <w:pPr>
              <w:spacing w:before="238" w:line="1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pacing w:val="-10"/>
                <w:sz w:val="24"/>
                <w:szCs w:val="24"/>
              </w:rPr>
              <w:t>100</w:t>
            </w:r>
          </w:p>
        </w:tc>
        <w:tc>
          <w:tcPr>
            <w:tcW w:w="642" w:type="pct"/>
            <w:vAlign w:val="center"/>
          </w:tcPr>
          <w:p w14:paraId="71767FE7">
            <w:pPr>
              <w:spacing w:before="238" w:line="188" w:lineRule="auto"/>
              <w:jc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pacing w:val="-10"/>
                <w:sz w:val="24"/>
                <w:szCs w:val="24"/>
              </w:rPr>
              <w:t>100</w:t>
            </w:r>
          </w:p>
        </w:tc>
        <w:tc>
          <w:tcPr>
            <w:tcW w:w="513" w:type="pct"/>
            <w:vAlign w:val="center"/>
          </w:tcPr>
          <w:p w14:paraId="6BCBD4CB">
            <w:pPr>
              <w:pStyle w:val="15"/>
              <w:spacing w:before="196" w:line="219" w:lineRule="auto"/>
              <w:jc w:val="center"/>
              <w:rPr>
                <w:rFonts w:hint="eastAsia" w:ascii="仿宋_GB2312" w:hAnsi="仿宋_GB2312" w:eastAsia="仿宋_GB2312" w:cs="仿宋_GB2312"/>
                <w:color w:val="auto"/>
              </w:rPr>
            </w:pPr>
            <w:r>
              <w:rPr>
                <w:rFonts w:hint="eastAsia" w:ascii="仿宋_GB2312" w:hAnsi="仿宋_GB2312" w:eastAsia="仿宋_GB2312" w:cs="仿宋_GB2312"/>
                <w:color w:val="auto"/>
                <w:spacing w:val="-6"/>
              </w:rPr>
              <w:t>预期性</w:t>
            </w:r>
          </w:p>
        </w:tc>
      </w:tr>
      <w:tr w14:paraId="312EFF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9" w:hRule="atLeast"/>
          <w:jc w:val="center"/>
        </w:trPr>
        <w:tc>
          <w:tcPr>
            <w:tcW w:w="676" w:type="pct"/>
            <w:gridSpan w:val="2"/>
            <w:tcBorders>
              <w:top w:val="single" w:color="auto" w:sz="4" w:space="0"/>
              <w:left w:val="single" w:color="auto" w:sz="4" w:space="0"/>
              <w:bottom w:val="single" w:color="auto" w:sz="4" w:space="0"/>
              <w:right w:val="single" w:color="auto" w:sz="4" w:space="0"/>
            </w:tcBorders>
            <w:vAlign w:val="center"/>
          </w:tcPr>
          <w:p w14:paraId="52E6D834">
            <w:pPr>
              <w:jc w:val="center"/>
              <w:rPr>
                <w:rFonts w:hint="eastAsia" w:ascii="仿宋_GB2312" w:hAnsi="仿宋_GB2312" w:eastAsia="仿宋_GB2312" w:cs="仿宋_GB2312"/>
                <w:color w:val="auto"/>
                <w:sz w:val="21"/>
                <w:lang w:eastAsia="zh-CN"/>
              </w:rPr>
            </w:pPr>
            <w:r>
              <w:rPr>
                <w:rFonts w:hint="eastAsia" w:ascii="仿宋_GB2312" w:hAnsi="仿宋_GB2312" w:eastAsia="仿宋_GB2312" w:cs="仿宋_GB2312"/>
                <w:color w:val="auto"/>
                <w:sz w:val="21"/>
                <w:lang w:eastAsia="zh-CN"/>
              </w:rPr>
              <w:t>注释</w:t>
            </w:r>
          </w:p>
        </w:tc>
        <w:tc>
          <w:tcPr>
            <w:tcW w:w="4323" w:type="pct"/>
            <w:gridSpan w:val="4"/>
            <w:tcBorders>
              <w:left w:val="single" w:color="auto" w:sz="4" w:space="0"/>
            </w:tcBorders>
            <w:vAlign w:val="center"/>
          </w:tcPr>
          <w:p w14:paraId="116413C5">
            <w:pPr>
              <w:pStyle w:val="15"/>
              <w:keepNext w:val="0"/>
              <w:keepLines w:val="0"/>
              <w:pageBreakBefore w:val="0"/>
              <w:widowControl w:val="0"/>
              <w:kinsoku/>
              <w:wordWrap/>
              <w:overflowPunct/>
              <w:topLinePunct w:val="0"/>
              <w:autoSpaceDE/>
              <w:autoSpaceDN/>
              <w:bidi w:val="0"/>
              <w:adjustRightInd/>
              <w:snapToGrid/>
              <w:spacing w:line="320" w:lineRule="exact"/>
              <w:ind w:left="0" w:right="0" w:firstLine="485" w:firstLineChars="204"/>
              <w:jc w:val="both"/>
              <w:textAlignment w:val="auto"/>
              <w:rPr>
                <w:rFonts w:hint="eastAsia" w:ascii="仿宋_GB2312" w:hAnsi="仿宋_GB2312" w:eastAsia="仿宋_GB2312" w:cs="仿宋_GB2312"/>
                <w:color w:val="auto"/>
                <w:spacing w:val="-4"/>
              </w:rPr>
            </w:pPr>
            <w:r>
              <w:rPr>
                <w:rFonts w:hint="eastAsia" w:ascii="仿宋_GB2312" w:hAnsi="仿宋_GB2312" w:eastAsia="仿宋_GB2312" w:cs="仿宋_GB2312"/>
                <w:color w:val="auto"/>
                <w:spacing w:val="-1"/>
              </w:rPr>
              <w:t>1.约束性指标是为实现规划目标，在规划期内不得突破或必须实</w:t>
            </w:r>
            <w:r>
              <w:rPr>
                <w:rFonts w:hint="eastAsia" w:ascii="仿宋_GB2312" w:hAnsi="仿宋_GB2312" w:eastAsia="仿宋_GB2312" w:cs="仿宋_GB2312"/>
                <w:color w:val="auto"/>
                <w:spacing w:val="-4"/>
              </w:rPr>
              <w:t>现的指标。</w:t>
            </w:r>
          </w:p>
          <w:p w14:paraId="396BDE52">
            <w:pPr>
              <w:pStyle w:val="15"/>
              <w:keepNext w:val="0"/>
              <w:keepLines w:val="0"/>
              <w:pageBreakBefore w:val="0"/>
              <w:widowControl w:val="0"/>
              <w:kinsoku/>
              <w:wordWrap/>
              <w:overflowPunct/>
              <w:topLinePunct w:val="0"/>
              <w:autoSpaceDE/>
              <w:autoSpaceDN/>
              <w:bidi w:val="0"/>
              <w:adjustRightInd/>
              <w:snapToGrid/>
              <w:spacing w:line="320" w:lineRule="exact"/>
              <w:ind w:left="0" w:right="0" w:firstLine="489" w:firstLineChars="204"/>
              <w:jc w:val="both"/>
              <w:textAlignment w:val="auto"/>
              <w:rPr>
                <w:rFonts w:hint="eastAsia" w:ascii="仿宋_GB2312" w:hAnsi="仿宋_GB2312" w:eastAsia="仿宋_GB2312" w:cs="仿宋_GB2312"/>
                <w:color w:val="auto"/>
                <w:spacing w:val="-6"/>
              </w:rPr>
            </w:pPr>
            <w:r>
              <w:rPr>
                <w:rFonts w:hint="eastAsia" w:ascii="仿宋_GB2312" w:hAnsi="仿宋_GB2312" w:eastAsia="仿宋_GB2312" w:cs="仿宋_GB2312"/>
                <w:color w:val="auto"/>
              </w:rPr>
              <w:t>2.预期性指标是指按照经济社会发展预期</w:t>
            </w:r>
            <w:r>
              <w:rPr>
                <w:rFonts w:hint="eastAsia" w:ascii="仿宋_GB2312" w:hAnsi="仿宋_GB2312" w:eastAsia="仿宋_GB2312" w:cs="仿宋_GB2312"/>
                <w:color w:val="auto"/>
                <w:lang w:eastAsia="zh-CN"/>
              </w:rPr>
              <w:t>，在</w:t>
            </w:r>
            <w:r>
              <w:rPr>
                <w:rFonts w:hint="eastAsia" w:ascii="仿宋_GB2312" w:hAnsi="仿宋_GB2312" w:eastAsia="仿宋_GB2312" w:cs="仿宋_GB2312"/>
                <w:color w:val="auto"/>
              </w:rPr>
              <w:t>规划</w:t>
            </w:r>
            <w:r>
              <w:rPr>
                <w:rFonts w:hint="eastAsia" w:ascii="仿宋_GB2312" w:hAnsi="仿宋_GB2312" w:eastAsia="仿宋_GB2312" w:cs="仿宋_GB2312"/>
                <w:color w:val="auto"/>
                <w:spacing w:val="-1"/>
              </w:rPr>
              <w:t>期内努力实现或</w:t>
            </w:r>
            <w:r>
              <w:rPr>
                <w:rFonts w:hint="eastAsia" w:ascii="仿宋_GB2312" w:hAnsi="仿宋_GB2312" w:eastAsia="仿宋_GB2312" w:cs="仿宋_GB2312"/>
                <w:color w:val="auto"/>
                <w:spacing w:val="-4"/>
              </w:rPr>
              <w:t>不突破的指标。</w:t>
            </w:r>
          </w:p>
        </w:tc>
      </w:tr>
    </w:tbl>
    <w:p w14:paraId="5BE413B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textAlignment w:val="baseline"/>
        <w:rPr>
          <w:rFonts w:hint="eastAsia" w:ascii="仿宋_GB2312" w:hAnsi="仿宋_GB2312" w:eastAsia="仿宋_GB2312" w:cs="仿宋_GB2312"/>
          <w:color w:val="auto"/>
          <w:spacing w:val="7"/>
          <w:sz w:val="32"/>
          <w:szCs w:val="32"/>
          <w:lang w:val="en-US" w:eastAsia="zh-CN"/>
        </w:rPr>
        <w:sectPr>
          <w:headerReference r:id="rId9" w:type="default"/>
          <w:pgSz w:w="23811" w:h="16838" w:orient="landscape"/>
          <w:pgMar w:top="1800" w:right="1440" w:bottom="1800" w:left="1440" w:header="851" w:footer="992" w:gutter="0"/>
          <w:pgNumType w:fmt="numberInDash"/>
          <w:cols w:space="2106" w:num="2"/>
          <w:docGrid w:type="lines" w:linePitch="312" w:charSpace="0"/>
        </w:sectPr>
      </w:pPr>
    </w:p>
    <w:p w14:paraId="22230B67">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313" w:afterLines="100" w:line="560" w:lineRule="exact"/>
        <w:ind w:left="0" w:right="0" w:firstLine="0" w:firstLineChars="0"/>
        <w:jc w:val="center"/>
        <w:textAlignment w:val="baseline"/>
        <w:outlineLvl w:val="0"/>
        <w:rPr>
          <w:rFonts w:hint="eastAsia" w:ascii="仿宋_GB2312" w:hAnsi="仿宋_GB2312" w:eastAsia="仿宋_GB2312" w:cs="仿宋_GB2312"/>
          <w:b w:val="0"/>
          <w:bCs w:val="0"/>
          <w:color w:val="auto"/>
          <w:spacing w:val="8"/>
          <w:sz w:val="32"/>
          <w:szCs w:val="32"/>
          <w:lang w:val="en-US" w:eastAsia="zh-CN"/>
        </w:rPr>
      </w:pPr>
      <w:bookmarkStart w:id="181" w:name="_Toc10631"/>
      <w:bookmarkStart w:id="182" w:name="_Toc26877"/>
      <w:bookmarkStart w:id="183" w:name="_Toc30100"/>
      <w:bookmarkStart w:id="184" w:name="_Toc12891"/>
      <w:r>
        <w:rPr>
          <w:rFonts w:hint="eastAsia" w:ascii="黑体" w:hAnsi="黑体" w:eastAsia="黑体" w:cs="黑体"/>
          <w:color w:val="auto"/>
          <w:spacing w:val="7"/>
          <w:sz w:val="44"/>
          <w:szCs w:val="44"/>
          <w:lang w:val="en-US" w:eastAsia="zh-CN"/>
        </w:rPr>
        <w:t>第四章 源头减量</w:t>
      </w:r>
      <w:bookmarkEnd w:id="181"/>
      <w:bookmarkEnd w:id="182"/>
      <w:bookmarkEnd w:id="183"/>
      <w:bookmarkEnd w:id="184"/>
    </w:p>
    <w:p w14:paraId="3B145D89">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default" w:ascii="楷体_GB2312" w:hAnsi="楷体_GB2312" w:eastAsia="楷体_GB2312" w:cs="楷体_GB2312"/>
          <w:b/>
          <w:bCs/>
          <w:color w:val="auto"/>
          <w:spacing w:val="8"/>
          <w:sz w:val="32"/>
          <w:szCs w:val="32"/>
          <w:lang w:val="en-US" w:eastAsia="zh-CN"/>
        </w:rPr>
      </w:pPr>
      <w:bookmarkStart w:id="185" w:name="_Toc129"/>
      <w:bookmarkStart w:id="186" w:name="_Toc4735"/>
      <w:bookmarkStart w:id="187" w:name="_Toc10279"/>
      <w:bookmarkStart w:id="188" w:name="_Toc3969"/>
      <w:r>
        <w:rPr>
          <w:rFonts w:hint="eastAsia" w:ascii="黑体" w:hAnsi="黑体" w:eastAsia="黑体" w:cs="黑体"/>
          <w:b w:val="0"/>
          <w:bCs w:val="0"/>
          <w:color w:val="auto"/>
          <w:spacing w:val="2"/>
          <w:sz w:val="31"/>
          <w:szCs w:val="31"/>
          <w:lang w:val="en-US" w:eastAsia="zh-CN"/>
        </w:rPr>
        <w:t>一、源头减量目标</w:t>
      </w:r>
      <w:r>
        <w:rPr>
          <w:rFonts w:hint="default" w:ascii="黑体" w:hAnsi="黑体" w:eastAsia="黑体" w:cs="黑体"/>
          <w:b w:val="0"/>
          <w:bCs w:val="0"/>
          <w:color w:val="auto"/>
          <w:spacing w:val="2"/>
          <w:sz w:val="31"/>
          <w:szCs w:val="31"/>
          <w:lang w:val="en-US" w:eastAsia="zh-CN"/>
        </w:rPr>
        <w:t>​</w:t>
      </w:r>
      <w:r>
        <w:rPr>
          <w:rFonts w:hint="default" w:ascii="楷体_GB2312" w:hAnsi="楷体_GB2312" w:eastAsia="楷体_GB2312" w:cs="楷体_GB2312"/>
          <w:b/>
          <w:bCs/>
          <w:color w:val="auto"/>
          <w:spacing w:val="8"/>
          <w:sz w:val="32"/>
          <w:szCs w:val="32"/>
          <w:lang w:val="en-US" w:eastAsia="zh-CN"/>
        </w:rPr>
        <w:t>​</w:t>
      </w:r>
      <w:bookmarkEnd w:id="185"/>
      <w:bookmarkEnd w:id="186"/>
      <w:bookmarkEnd w:id="187"/>
      <w:bookmarkEnd w:id="188"/>
    </w:p>
    <w:p w14:paraId="4C618B5C">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default" w:ascii="仿宋_GB2312" w:hAnsi="仿宋_GB2312" w:eastAsia="仿宋_GB2312" w:cs="仿宋_GB2312"/>
          <w:b w:val="0"/>
          <w:bCs w:val="0"/>
          <w:color w:val="auto"/>
          <w:spacing w:val="8"/>
          <w:sz w:val="32"/>
          <w:szCs w:val="32"/>
          <w:lang w:val="en-US" w:eastAsia="zh-CN"/>
        </w:rPr>
        <w:t>建立健全建筑垃圾减量化工作机制，推动工程建设生产组织模式转变，从源头上预防和减少工程建设过程中建筑垃圾的产生，有效减少工程全寿命期的建筑垃圾排放，不断推进工程建设可持续发展和城乡人居环境改善。​</w:t>
      </w:r>
    </w:p>
    <w:p w14:paraId="42E8F3AA">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default" w:ascii="仿宋_GB2312" w:hAnsi="仿宋_GB2312" w:eastAsia="仿宋_GB2312" w:cs="仿宋_GB2312"/>
          <w:b w:val="0"/>
          <w:bCs w:val="0"/>
          <w:color w:val="auto"/>
          <w:spacing w:val="8"/>
          <w:sz w:val="32"/>
          <w:szCs w:val="32"/>
          <w:lang w:val="en-US" w:eastAsia="zh-CN"/>
        </w:rPr>
        <w:t>到2030年底，建筑垃圾减量化工作机制进一步完善，实现新建建筑施工现场建筑垃圾（不包括工程渣土、工程泥浆）排放量每万平方米不高于300吨，装配式建筑施工现场建筑垃圾（不包括工程渣土、工程泥浆）排放量每万平方米不高于200吨；新开工装配式建筑面积占新建建筑</w:t>
      </w:r>
      <w:r>
        <w:rPr>
          <w:rFonts w:hint="eastAsia" w:ascii="仿宋_GB2312" w:hAnsi="仿宋_GB2312" w:eastAsia="仿宋_GB2312" w:cs="仿宋_GB2312"/>
          <w:b w:val="0"/>
          <w:bCs w:val="0"/>
          <w:color w:val="auto"/>
          <w:spacing w:val="8"/>
          <w:sz w:val="32"/>
          <w:szCs w:val="32"/>
          <w:lang w:val="en-US" w:eastAsia="zh-CN"/>
        </w:rPr>
        <w:t>比例</w:t>
      </w:r>
      <w:r>
        <w:rPr>
          <w:rFonts w:hint="default" w:ascii="仿宋_GB2312" w:hAnsi="仿宋_GB2312" w:eastAsia="仿宋_GB2312" w:cs="仿宋_GB2312"/>
          <w:b w:val="0"/>
          <w:bCs w:val="0"/>
          <w:color w:val="auto"/>
          <w:spacing w:val="8"/>
          <w:sz w:val="32"/>
          <w:szCs w:val="32"/>
          <w:lang w:val="en-US" w:eastAsia="zh-CN"/>
        </w:rPr>
        <w:t>不低于30%。</w:t>
      </w:r>
    </w:p>
    <w:p w14:paraId="0307A876">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default" w:ascii="仿宋_GB2312" w:hAnsi="仿宋_GB2312" w:eastAsia="仿宋_GB2312" w:cs="仿宋_GB2312"/>
          <w:b w:val="0"/>
          <w:bCs w:val="0"/>
          <w:color w:val="auto"/>
          <w:spacing w:val="8"/>
          <w:sz w:val="32"/>
          <w:szCs w:val="32"/>
          <w:lang w:val="en-US" w:eastAsia="zh-CN"/>
        </w:rPr>
        <w:t>到2035年</w:t>
      </w:r>
      <w:r>
        <w:rPr>
          <w:rFonts w:hint="eastAsia" w:ascii="仿宋_GB2312" w:hAnsi="仿宋_GB2312" w:eastAsia="仿宋_GB2312" w:cs="仿宋_GB2312"/>
          <w:b w:val="0"/>
          <w:bCs w:val="0"/>
          <w:color w:val="auto"/>
          <w:spacing w:val="8"/>
          <w:sz w:val="32"/>
          <w:szCs w:val="32"/>
          <w:lang w:val="en-US" w:eastAsia="zh-CN"/>
        </w:rPr>
        <w:t>底</w:t>
      </w:r>
      <w:r>
        <w:rPr>
          <w:rFonts w:hint="default" w:ascii="仿宋_GB2312" w:hAnsi="仿宋_GB2312" w:eastAsia="仿宋_GB2312" w:cs="仿宋_GB2312"/>
          <w:b w:val="0"/>
          <w:bCs w:val="0"/>
          <w:color w:val="auto"/>
          <w:spacing w:val="8"/>
          <w:sz w:val="32"/>
          <w:szCs w:val="32"/>
          <w:lang w:val="en-US" w:eastAsia="zh-CN"/>
        </w:rPr>
        <w:t>，新建建筑施工现场建筑垃圾（</w:t>
      </w:r>
      <w:r>
        <w:rPr>
          <w:rFonts w:hint="default" w:ascii="仿宋_GB2312" w:hAnsi="仿宋_GB2312" w:eastAsia="仿宋_GB2312" w:cs="仿宋_GB2312"/>
          <w:b w:val="0"/>
          <w:bCs w:val="0"/>
          <w:color w:val="auto"/>
          <w:spacing w:val="8"/>
          <w:sz w:val="32"/>
          <w:szCs w:val="32"/>
          <w:highlight w:val="none"/>
          <w:lang w:val="en-US" w:eastAsia="zh-CN"/>
        </w:rPr>
        <w:t>不包括工程渣土、工程泥浆</w:t>
      </w:r>
      <w:r>
        <w:rPr>
          <w:rFonts w:hint="default" w:ascii="仿宋_GB2312" w:hAnsi="仿宋_GB2312" w:eastAsia="仿宋_GB2312" w:cs="仿宋_GB2312"/>
          <w:b w:val="0"/>
          <w:bCs w:val="0"/>
          <w:color w:val="auto"/>
          <w:spacing w:val="8"/>
          <w:sz w:val="32"/>
          <w:szCs w:val="32"/>
          <w:lang w:val="en-US" w:eastAsia="zh-CN"/>
        </w:rPr>
        <w:t>）排放量以及装配式建筑施工现场建筑垃圾（不包括工程渣土、工程泥浆）每万平方米排放量均需满足国家和地方政策要求。新开工装配式建筑面积占新建建筑</w:t>
      </w:r>
      <w:r>
        <w:rPr>
          <w:rFonts w:hint="eastAsia" w:ascii="仿宋_GB2312" w:hAnsi="仿宋_GB2312" w:eastAsia="仿宋_GB2312" w:cs="仿宋_GB2312"/>
          <w:b w:val="0"/>
          <w:bCs w:val="0"/>
          <w:color w:val="auto"/>
          <w:spacing w:val="8"/>
          <w:sz w:val="32"/>
          <w:szCs w:val="32"/>
          <w:lang w:val="en-US" w:eastAsia="zh-CN"/>
        </w:rPr>
        <w:t>比例</w:t>
      </w:r>
      <w:r>
        <w:rPr>
          <w:rFonts w:hint="default" w:ascii="仿宋_GB2312" w:hAnsi="仿宋_GB2312" w:eastAsia="仿宋_GB2312" w:cs="仿宋_GB2312"/>
          <w:b w:val="0"/>
          <w:bCs w:val="0"/>
          <w:color w:val="auto"/>
          <w:spacing w:val="8"/>
          <w:sz w:val="32"/>
          <w:szCs w:val="32"/>
          <w:lang w:val="en-US" w:eastAsia="zh-CN"/>
        </w:rPr>
        <w:t>不低于40%。装配式建筑成为新建建筑主流形式，全装修交付住宅项目实现全覆盖，从根本上遏制建筑垃圾增量，构建“源头严控、过程优化、减量高效”的源头管理体系。</w:t>
      </w:r>
    </w:p>
    <w:p w14:paraId="2616CBEE">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default" w:ascii="黑体" w:hAnsi="黑体" w:eastAsia="黑体" w:cs="黑体"/>
          <w:b w:val="0"/>
          <w:bCs w:val="0"/>
          <w:color w:val="auto"/>
          <w:spacing w:val="2"/>
          <w:sz w:val="31"/>
          <w:szCs w:val="31"/>
          <w:lang w:val="en-US" w:eastAsia="zh-CN"/>
        </w:rPr>
      </w:pPr>
      <w:bookmarkStart w:id="189" w:name="_Toc23147"/>
      <w:bookmarkStart w:id="190" w:name="_Toc11311"/>
      <w:bookmarkStart w:id="191" w:name="_Toc6222"/>
      <w:bookmarkStart w:id="192" w:name="_Toc10217"/>
      <w:r>
        <w:rPr>
          <w:rFonts w:hint="eastAsia" w:ascii="黑体" w:hAnsi="黑体" w:eastAsia="黑体" w:cs="黑体"/>
          <w:b w:val="0"/>
          <w:bCs w:val="0"/>
          <w:color w:val="auto"/>
          <w:spacing w:val="2"/>
          <w:sz w:val="31"/>
          <w:szCs w:val="31"/>
          <w:lang w:val="en-US" w:eastAsia="zh-CN"/>
        </w:rPr>
        <w:t>二、</w:t>
      </w:r>
      <w:r>
        <w:rPr>
          <w:rFonts w:hint="default" w:ascii="黑体" w:hAnsi="黑体" w:eastAsia="黑体" w:cs="黑体"/>
          <w:b w:val="0"/>
          <w:bCs w:val="0"/>
          <w:color w:val="auto"/>
          <w:spacing w:val="2"/>
          <w:sz w:val="31"/>
          <w:szCs w:val="31"/>
          <w:lang w:val="en-US" w:eastAsia="zh-CN"/>
        </w:rPr>
        <w:t>源头减量措施​</w:t>
      </w:r>
      <w:bookmarkEnd w:id="189"/>
      <w:bookmarkEnd w:id="190"/>
      <w:bookmarkEnd w:id="191"/>
      <w:bookmarkEnd w:id="192"/>
    </w:p>
    <w:p w14:paraId="2BE4B490">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default" w:ascii="楷体_GB2312" w:hAnsi="楷体_GB2312" w:eastAsia="楷体_GB2312" w:cs="楷体_GB2312"/>
          <w:b/>
          <w:bCs/>
          <w:color w:val="auto"/>
          <w:spacing w:val="8"/>
          <w:sz w:val="32"/>
          <w:szCs w:val="32"/>
          <w:lang w:val="en-US" w:eastAsia="zh-CN"/>
        </w:rPr>
      </w:pPr>
      <w:bookmarkStart w:id="193" w:name="_Toc11826"/>
      <w:bookmarkStart w:id="194" w:name="_Toc22587"/>
      <w:bookmarkStart w:id="195" w:name="_Toc20338"/>
      <w:bookmarkStart w:id="196" w:name="_Toc31773"/>
      <w:r>
        <w:rPr>
          <w:rFonts w:hint="eastAsia" w:ascii="楷体_GB2312" w:hAnsi="楷体_GB2312" w:eastAsia="楷体_GB2312" w:cs="楷体_GB2312"/>
          <w:b/>
          <w:bCs/>
          <w:color w:val="auto"/>
          <w:spacing w:val="8"/>
          <w:sz w:val="32"/>
          <w:szCs w:val="32"/>
          <w:lang w:val="en-US" w:eastAsia="zh-CN"/>
        </w:rPr>
        <w:t>（一）</w:t>
      </w:r>
      <w:r>
        <w:rPr>
          <w:rFonts w:hint="default" w:ascii="楷体_GB2312" w:hAnsi="楷体_GB2312" w:eastAsia="楷体_GB2312" w:cs="楷体_GB2312"/>
          <w:b/>
          <w:bCs/>
          <w:color w:val="auto"/>
          <w:spacing w:val="8"/>
          <w:sz w:val="32"/>
          <w:szCs w:val="32"/>
          <w:lang w:val="en-US" w:eastAsia="zh-CN"/>
        </w:rPr>
        <w:t>责任体系构建​</w:t>
      </w:r>
      <w:bookmarkEnd w:id="193"/>
      <w:bookmarkEnd w:id="194"/>
      <w:bookmarkEnd w:id="195"/>
      <w:bookmarkEnd w:id="196"/>
    </w:p>
    <w:p w14:paraId="201F8EBF">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default" w:ascii="仿宋_GB2312" w:hAnsi="仿宋_GB2312" w:eastAsia="仿宋_GB2312" w:cs="仿宋_GB2312"/>
          <w:b w:val="0"/>
          <w:bCs w:val="0"/>
          <w:color w:val="auto"/>
          <w:spacing w:val="8"/>
          <w:sz w:val="32"/>
          <w:szCs w:val="32"/>
          <w:lang w:val="en-US" w:eastAsia="zh-CN"/>
        </w:rPr>
        <w:t>建立“政府主导、部门协同、企业主责、社会参与”的责任机制，明确住建、城管、发改、自然资源等部门的监管职责，将建筑垃圾源头减量纳入部门年度绩效考核。未按要求落实减量措施的，不予通过项目竣工验收。​</w:t>
      </w:r>
    </w:p>
    <w:p w14:paraId="47D5DAAA">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default" w:ascii="楷体_GB2312" w:hAnsi="楷体_GB2312" w:eastAsia="楷体_GB2312" w:cs="楷体_GB2312"/>
          <w:b/>
          <w:bCs/>
          <w:color w:val="auto"/>
          <w:spacing w:val="8"/>
          <w:sz w:val="32"/>
          <w:szCs w:val="32"/>
          <w:lang w:val="en-US" w:eastAsia="zh-CN"/>
        </w:rPr>
      </w:pPr>
      <w:bookmarkStart w:id="197" w:name="_Toc24668"/>
      <w:bookmarkStart w:id="198" w:name="_Toc31278"/>
      <w:bookmarkStart w:id="199" w:name="_Toc13653"/>
      <w:bookmarkStart w:id="200" w:name="_Toc4020"/>
      <w:r>
        <w:rPr>
          <w:rFonts w:hint="eastAsia" w:ascii="楷体_GB2312" w:hAnsi="楷体_GB2312" w:eastAsia="楷体_GB2312" w:cs="楷体_GB2312"/>
          <w:b/>
          <w:bCs/>
          <w:color w:val="auto"/>
          <w:spacing w:val="8"/>
          <w:sz w:val="32"/>
          <w:szCs w:val="32"/>
          <w:lang w:val="en-US" w:eastAsia="zh-CN"/>
        </w:rPr>
        <w:t>（二）</w:t>
      </w:r>
      <w:r>
        <w:rPr>
          <w:rFonts w:hint="default" w:ascii="楷体_GB2312" w:hAnsi="楷体_GB2312" w:eastAsia="楷体_GB2312" w:cs="楷体_GB2312"/>
          <w:b/>
          <w:bCs/>
          <w:color w:val="auto"/>
          <w:spacing w:val="8"/>
          <w:sz w:val="32"/>
          <w:szCs w:val="32"/>
          <w:lang w:val="en-US" w:eastAsia="zh-CN"/>
        </w:rPr>
        <w:t>技术标准推广​</w:t>
      </w:r>
      <w:bookmarkEnd w:id="197"/>
      <w:bookmarkEnd w:id="198"/>
      <w:bookmarkEnd w:id="199"/>
      <w:bookmarkEnd w:id="200"/>
    </w:p>
    <w:p w14:paraId="548ECD87">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default" w:ascii="仿宋_GB2312" w:hAnsi="仿宋_GB2312" w:eastAsia="仿宋_GB2312" w:cs="仿宋_GB2312"/>
          <w:b w:val="0"/>
          <w:bCs w:val="0"/>
          <w:color w:val="auto"/>
          <w:spacing w:val="8"/>
          <w:sz w:val="32"/>
          <w:szCs w:val="32"/>
          <w:lang w:val="en-US" w:eastAsia="zh-CN"/>
        </w:rPr>
        <w:t>强制要求新建项目采用标准化设计、模块化施工，减少非标准构件使用。推广BIM（建筑信息模型）技术在设计、施工全过程的应用，通过三维建模优化施工方案，减少设计变更和材料浪费，</w:t>
      </w:r>
      <w:r>
        <w:rPr>
          <w:rFonts w:hint="default" w:ascii="仿宋_GB2312" w:hAnsi="仿宋_GB2312" w:eastAsia="仿宋_GB2312" w:cs="仿宋_GB2312"/>
          <w:b w:val="0"/>
          <w:bCs w:val="0"/>
          <w:color w:val="auto"/>
          <w:spacing w:val="-6"/>
          <w:sz w:val="32"/>
          <w:szCs w:val="32"/>
          <w:lang w:val="en-US" w:eastAsia="zh-CN"/>
        </w:rPr>
        <w:t>2027年BIM技术在新建项目中的应用率达到50%，2035年实现全覆盖。</w:t>
      </w:r>
    </w:p>
    <w:p w14:paraId="24D02D39">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default" w:ascii="楷体_GB2312" w:hAnsi="楷体_GB2312" w:eastAsia="楷体_GB2312" w:cs="楷体_GB2312"/>
          <w:b/>
          <w:bCs/>
          <w:color w:val="auto"/>
          <w:spacing w:val="8"/>
          <w:sz w:val="32"/>
          <w:szCs w:val="32"/>
          <w:lang w:val="en-US" w:eastAsia="zh-CN"/>
        </w:rPr>
      </w:pPr>
      <w:bookmarkStart w:id="201" w:name="_Toc27444"/>
      <w:bookmarkStart w:id="202" w:name="_Toc30335"/>
      <w:bookmarkStart w:id="203" w:name="_Toc20224"/>
      <w:bookmarkStart w:id="204" w:name="_Toc28375"/>
      <w:r>
        <w:rPr>
          <w:rFonts w:hint="eastAsia" w:ascii="楷体_GB2312" w:hAnsi="楷体_GB2312" w:eastAsia="楷体_GB2312" w:cs="楷体_GB2312"/>
          <w:b/>
          <w:bCs/>
          <w:color w:val="auto"/>
          <w:spacing w:val="8"/>
          <w:sz w:val="32"/>
          <w:szCs w:val="32"/>
          <w:lang w:val="en-US" w:eastAsia="zh-CN"/>
        </w:rPr>
        <w:t>（三）</w:t>
      </w:r>
      <w:r>
        <w:rPr>
          <w:rFonts w:hint="default" w:ascii="楷体_GB2312" w:hAnsi="楷体_GB2312" w:eastAsia="楷体_GB2312" w:cs="楷体_GB2312"/>
          <w:b/>
          <w:bCs/>
          <w:color w:val="auto"/>
          <w:spacing w:val="8"/>
          <w:sz w:val="32"/>
          <w:szCs w:val="32"/>
          <w:lang w:val="en-US" w:eastAsia="zh-CN"/>
        </w:rPr>
        <w:t>政策激励引导​</w:t>
      </w:r>
      <w:bookmarkEnd w:id="201"/>
      <w:bookmarkEnd w:id="202"/>
      <w:bookmarkEnd w:id="203"/>
      <w:bookmarkEnd w:id="204"/>
    </w:p>
    <w:p w14:paraId="1581C183">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default" w:ascii="仿宋_GB2312" w:hAnsi="仿宋_GB2312" w:eastAsia="仿宋_GB2312" w:cs="仿宋_GB2312"/>
          <w:b w:val="0"/>
          <w:bCs w:val="0"/>
          <w:color w:val="auto"/>
          <w:spacing w:val="8"/>
          <w:sz w:val="32"/>
          <w:szCs w:val="32"/>
          <w:lang w:val="en-US" w:eastAsia="zh-CN"/>
        </w:rPr>
        <w:t>对采用装配式建筑、全装修交付的项目，给予容积率奖励、城市基础设施配套费减免等优惠政策，降低项目建设成本，提升企业采用绿色建设模式的积极性。</w:t>
      </w:r>
      <w:r>
        <w:rPr>
          <w:rFonts w:hint="default" w:ascii="仿宋_GB2312" w:hAnsi="仿宋_GB2312" w:eastAsia="仿宋_GB2312" w:cs="仿宋_GB2312"/>
          <w:color w:val="auto"/>
          <w:spacing w:val="8"/>
          <w:sz w:val="32"/>
          <w:szCs w:val="32"/>
          <w:lang w:eastAsia="zh-CN"/>
        </w:rPr>
        <w:t>强化金融赋能力度，鼓励金融机构参照“GEP 质押+信用担保”模式，为绿色建筑及建筑垃圾减量项目创新开发专项信贷产品，提供低息贷款支持</w:t>
      </w:r>
      <w:r>
        <w:rPr>
          <w:rFonts w:hint="default" w:ascii="仿宋_GB2312" w:hAnsi="仿宋_GB2312" w:eastAsia="仿宋_GB2312" w:cs="仿宋_GB2312"/>
          <w:b w:val="0"/>
          <w:bCs w:val="0"/>
          <w:color w:val="auto"/>
          <w:spacing w:val="8"/>
          <w:sz w:val="32"/>
          <w:szCs w:val="32"/>
          <w:lang w:val="en-US" w:eastAsia="zh-CN"/>
        </w:rPr>
        <w:t>。​</w:t>
      </w:r>
    </w:p>
    <w:p w14:paraId="6822EE71">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default" w:ascii="楷体_GB2312" w:hAnsi="楷体_GB2312" w:eastAsia="楷体_GB2312" w:cs="楷体_GB2312"/>
          <w:b/>
          <w:bCs/>
          <w:color w:val="auto"/>
          <w:spacing w:val="8"/>
          <w:sz w:val="32"/>
          <w:szCs w:val="32"/>
          <w:lang w:val="en-US" w:eastAsia="zh-CN"/>
        </w:rPr>
      </w:pPr>
      <w:bookmarkStart w:id="205" w:name="_Toc31525"/>
      <w:bookmarkStart w:id="206" w:name="_Toc22101"/>
      <w:bookmarkStart w:id="207" w:name="_Toc4750"/>
      <w:bookmarkStart w:id="208" w:name="_Toc24415"/>
      <w:r>
        <w:rPr>
          <w:rFonts w:hint="eastAsia" w:ascii="楷体_GB2312" w:hAnsi="楷体_GB2312" w:eastAsia="楷体_GB2312" w:cs="楷体_GB2312"/>
          <w:b/>
          <w:bCs/>
          <w:color w:val="auto"/>
          <w:spacing w:val="8"/>
          <w:sz w:val="32"/>
          <w:szCs w:val="32"/>
          <w:lang w:val="en-US" w:eastAsia="zh-CN"/>
        </w:rPr>
        <w:t>（四）</w:t>
      </w:r>
      <w:r>
        <w:rPr>
          <w:rFonts w:hint="default" w:ascii="楷体_GB2312" w:hAnsi="楷体_GB2312" w:eastAsia="楷体_GB2312" w:cs="楷体_GB2312"/>
          <w:b/>
          <w:bCs/>
          <w:color w:val="auto"/>
          <w:spacing w:val="8"/>
          <w:sz w:val="32"/>
          <w:szCs w:val="32"/>
          <w:lang w:val="en-US" w:eastAsia="zh-CN"/>
        </w:rPr>
        <w:t>监督考核强化​</w:t>
      </w:r>
      <w:bookmarkEnd w:id="205"/>
      <w:bookmarkEnd w:id="206"/>
      <w:bookmarkEnd w:id="207"/>
      <w:bookmarkEnd w:id="208"/>
    </w:p>
    <w:p w14:paraId="3B0A9A9F">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default" w:ascii="仿宋_GB2312" w:hAnsi="仿宋_GB2312" w:eastAsia="仿宋_GB2312" w:cs="仿宋_GB2312"/>
          <w:b w:val="0"/>
          <w:bCs w:val="0"/>
          <w:color w:val="auto"/>
          <w:spacing w:val="8"/>
          <w:sz w:val="32"/>
          <w:szCs w:val="32"/>
          <w:lang w:val="en-US" w:eastAsia="zh-CN"/>
        </w:rPr>
        <w:t>建立“双随机、一公开”监督检查制度，住建部门每季度对在建项目开展建筑垃圾减量专项检查</w:t>
      </w:r>
      <w:r>
        <w:rPr>
          <w:rFonts w:hint="eastAsia" w:ascii="仿宋_GB2312" w:hAnsi="仿宋_GB2312" w:eastAsia="仿宋_GB2312" w:cs="仿宋_GB2312"/>
          <w:b w:val="0"/>
          <w:bCs w:val="0"/>
          <w:color w:val="auto"/>
          <w:spacing w:val="8"/>
          <w:sz w:val="32"/>
          <w:szCs w:val="32"/>
          <w:lang w:val="en-US" w:eastAsia="zh-CN"/>
        </w:rPr>
        <w:t>，将</w:t>
      </w:r>
      <w:r>
        <w:rPr>
          <w:rFonts w:hint="default" w:ascii="仿宋_GB2312" w:hAnsi="仿宋_GB2312" w:eastAsia="仿宋_GB2312" w:cs="仿宋_GB2312"/>
          <w:b w:val="0"/>
          <w:bCs w:val="0"/>
          <w:color w:val="auto"/>
          <w:spacing w:val="8"/>
          <w:sz w:val="32"/>
          <w:szCs w:val="32"/>
          <w:lang w:val="en-US" w:eastAsia="zh-CN"/>
        </w:rPr>
        <w:t>检查结果纳入企业信用评价体系，对失信企业实行联合惩戒。​</w:t>
      </w:r>
    </w:p>
    <w:p w14:paraId="72B57486">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default" w:ascii="仿宋_GB2312" w:hAnsi="仿宋_GB2312" w:eastAsia="仿宋_GB2312" w:cs="仿宋_GB2312"/>
          <w:b w:val="0"/>
          <w:bCs w:val="0"/>
          <w:color w:val="auto"/>
          <w:spacing w:val="8"/>
          <w:sz w:val="32"/>
          <w:szCs w:val="32"/>
          <w:lang w:val="en-US" w:eastAsia="zh-CN"/>
        </w:rPr>
        <w:t>推行建筑垃圾减量“红黑榜”制度，定期在政府官网公示表现突出的企业（红榜）和违规企业（黑榜），强化社会监督。​</w:t>
      </w:r>
    </w:p>
    <w:p w14:paraId="4283E8B7">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default" w:ascii="仿宋_GB2312" w:hAnsi="仿宋_GB2312" w:eastAsia="仿宋_GB2312" w:cs="仿宋_GB2312"/>
          <w:b w:val="0"/>
          <w:bCs w:val="0"/>
          <w:color w:val="auto"/>
          <w:spacing w:val="8"/>
          <w:sz w:val="32"/>
          <w:szCs w:val="32"/>
          <w:lang w:val="en-US" w:eastAsia="zh-CN"/>
        </w:rPr>
      </w:pPr>
      <w:bookmarkStart w:id="209" w:name="_Toc6810"/>
      <w:bookmarkStart w:id="210" w:name="_Toc10484"/>
      <w:bookmarkStart w:id="211" w:name="_Toc11938"/>
      <w:bookmarkStart w:id="212" w:name="_Toc24669"/>
      <w:r>
        <w:rPr>
          <w:rFonts w:hint="eastAsia" w:ascii="黑体" w:hAnsi="黑体" w:eastAsia="黑体" w:cs="黑体"/>
          <w:b w:val="0"/>
          <w:bCs w:val="0"/>
          <w:color w:val="auto"/>
          <w:spacing w:val="2"/>
          <w:sz w:val="31"/>
          <w:szCs w:val="31"/>
          <w:lang w:val="en-US" w:eastAsia="zh-CN"/>
        </w:rPr>
        <w:t>三、</w:t>
      </w:r>
      <w:r>
        <w:rPr>
          <w:rFonts w:hint="default" w:ascii="黑体" w:hAnsi="黑体" w:eastAsia="黑体" w:cs="黑体"/>
          <w:b w:val="0"/>
          <w:bCs w:val="0"/>
          <w:color w:val="auto"/>
          <w:spacing w:val="2"/>
          <w:sz w:val="31"/>
          <w:szCs w:val="31"/>
          <w:lang w:val="en-US" w:eastAsia="zh-CN"/>
        </w:rPr>
        <w:t>分类源头减量措施​</w:t>
      </w:r>
      <w:bookmarkEnd w:id="209"/>
      <w:bookmarkEnd w:id="210"/>
      <w:bookmarkEnd w:id="211"/>
      <w:bookmarkEnd w:id="212"/>
    </w:p>
    <w:p w14:paraId="0E28A632">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default" w:ascii="楷体_GB2312" w:hAnsi="楷体_GB2312" w:eastAsia="楷体_GB2312" w:cs="楷体_GB2312"/>
          <w:b/>
          <w:bCs/>
          <w:color w:val="auto"/>
          <w:spacing w:val="8"/>
          <w:sz w:val="32"/>
          <w:szCs w:val="32"/>
          <w:lang w:val="en-US" w:eastAsia="zh-CN"/>
        </w:rPr>
      </w:pPr>
      <w:bookmarkStart w:id="213" w:name="_Toc21277"/>
      <w:bookmarkStart w:id="214" w:name="_Toc7407"/>
      <w:bookmarkStart w:id="215" w:name="_Toc6506"/>
      <w:bookmarkStart w:id="216" w:name="_Toc31089"/>
      <w:r>
        <w:rPr>
          <w:rFonts w:hint="eastAsia" w:ascii="楷体_GB2312" w:hAnsi="楷体_GB2312" w:eastAsia="楷体_GB2312" w:cs="楷体_GB2312"/>
          <w:b/>
          <w:bCs/>
          <w:color w:val="auto"/>
          <w:spacing w:val="8"/>
          <w:sz w:val="32"/>
          <w:szCs w:val="32"/>
          <w:lang w:val="en-US" w:eastAsia="zh-CN"/>
        </w:rPr>
        <w:t>（一）</w:t>
      </w:r>
      <w:r>
        <w:rPr>
          <w:rFonts w:hint="default" w:ascii="楷体_GB2312" w:hAnsi="楷体_GB2312" w:eastAsia="楷体_GB2312" w:cs="楷体_GB2312"/>
          <w:b/>
          <w:bCs/>
          <w:color w:val="auto"/>
          <w:spacing w:val="8"/>
          <w:sz w:val="32"/>
          <w:szCs w:val="32"/>
          <w:lang w:val="en-US" w:eastAsia="zh-CN"/>
        </w:rPr>
        <w:t>工程渣土减量措施​</w:t>
      </w:r>
      <w:bookmarkEnd w:id="213"/>
      <w:bookmarkEnd w:id="214"/>
      <w:bookmarkEnd w:id="215"/>
      <w:bookmarkEnd w:id="216"/>
    </w:p>
    <w:p w14:paraId="02DD0F8B">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color w:val="auto"/>
          <w:spacing w:val="8"/>
          <w:sz w:val="32"/>
          <w:szCs w:val="32"/>
        </w:rPr>
        <w:t>分考虑地形地貌和地质条</w:t>
      </w:r>
      <w:r>
        <w:rPr>
          <w:rFonts w:hint="eastAsia" w:ascii="仿宋_GB2312" w:hAnsi="仿宋_GB2312" w:eastAsia="仿宋_GB2312" w:cs="仿宋_GB2312"/>
          <w:color w:val="auto"/>
          <w:sz w:val="32"/>
          <w:szCs w:val="32"/>
        </w:rPr>
        <w:t>件，优</w:t>
      </w:r>
      <w:r>
        <w:rPr>
          <w:rFonts w:hint="eastAsia" w:ascii="仿宋_GB2312" w:hAnsi="仿宋_GB2312" w:eastAsia="仿宋_GB2312" w:cs="仿宋_GB2312"/>
          <w:color w:val="auto"/>
          <w:sz w:val="32"/>
          <w:szCs w:val="32"/>
          <w:lang w:eastAsia="zh-CN"/>
        </w:rPr>
        <w:t>先</w:t>
      </w:r>
      <w:r>
        <w:rPr>
          <w:rFonts w:hint="eastAsia" w:ascii="仿宋_GB2312" w:hAnsi="仿宋_GB2312" w:eastAsia="仿宋_GB2312" w:cs="仿宋_GB2312"/>
          <w:b w:val="0"/>
          <w:bCs w:val="0"/>
          <w:color w:val="auto"/>
          <w:spacing w:val="8"/>
          <w:sz w:val="32"/>
          <w:szCs w:val="32"/>
          <w:lang w:val="en-US" w:eastAsia="zh-CN"/>
        </w:rPr>
        <w:t>利用场地内开挖渣土进行场地回填、路基铺设等，严禁超挖、超填，对因地质条件需外运的渣土，明确运输路线和处置场地，避免随意倾倒。</w:t>
      </w:r>
      <w:r>
        <w:rPr>
          <w:rFonts w:hint="eastAsia" w:ascii="仿宋_GB2312" w:hAnsi="仿宋_GB2312" w:eastAsia="仿宋_GB2312" w:cs="仿宋_GB2312"/>
          <w:color w:val="auto"/>
          <w:sz w:val="32"/>
          <w:szCs w:val="32"/>
        </w:rPr>
        <w:t>在项目施工中，</w:t>
      </w:r>
      <w:r>
        <w:rPr>
          <w:rFonts w:hint="eastAsia" w:ascii="仿宋_GB2312" w:hAnsi="仿宋_GB2312" w:eastAsia="仿宋_GB2312" w:cs="仿宋_GB2312"/>
          <w:color w:val="auto"/>
          <w:spacing w:val="9"/>
          <w:sz w:val="32"/>
          <w:szCs w:val="32"/>
        </w:rPr>
        <w:t>加强土方开挖和回填的施工管理，</w:t>
      </w:r>
      <w:r>
        <w:rPr>
          <w:rFonts w:hint="eastAsia" w:ascii="仿宋_GB2312" w:hAnsi="仿宋_GB2312" w:eastAsia="仿宋_GB2312" w:cs="仿宋_GB2312"/>
          <w:color w:val="auto"/>
          <w:spacing w:val="9"/>
          <w:sz w:val="32"/>
          <w:szCs w:val="32"/>
          <w:lang w:eastAsia="zh-CN"/>
        </w:rPr>
        <w:t>可</w:t>
      </w:r>
      <w:r>
        <w:rPr>
          <w:rFonts w:hint="eastAsia" w:ascii="仿宋_GB2312" w:hAnsi="仿宋_GB2312" w:eastAsia="仿宋_GB2312" w:cs="仿宋_GB2312"/>
          <w:b w:val="0"/>
          <w:bCs w:val="0"/>
          <w:color w:val="auto"/>
          <w:spacing w:val="8"/>
          <w:sz w:val="32"/>
          <w:szCs w:val="32"/>
          <w:lang w:val="en-US" w:eastAsia="zh-CN"/>
        </w:rPr>
        <w:t>推广基坑支护、土方开挖智能化管控技术，使用无人挖掘机、精准定位设备控制开挖深度和范围，减少渣土产生量；对工程渣土进行分类堆放，可利用部分（如碎石、砂土）优先用于临时道路铺设、场地硬化，提高再利用率。</w:t>
      </w:r>
    </w:p>
    <w:p w14:paraId="0C46DBDA">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default" w:ascii="楷体_GB2312" w:hAnsi="楷体_GB2312" w:eastAsia="楷体_GB2312" w:cs="楷体_GB2312"/>
          <w:b/>
          <w:bCs/>
          <w:color w:val="auto"/>
          <w:spacing w:val="8"/>
          <w:sz w:val="32"/>
          <w:szCs w:val="32"/>
          <w:lang w:val="en-US" w:eastAsia="zh-CN"/>
        </w:rPr>
      </w:pPr>
      <w:bookmarkStart w:id="217" w:name="_Toc16866"/>
      <w:bookmarkStart w:id="218" w:name="_Toc25699"/>
      <w:bookmarkStart w:id="219" w:name="_Toc13696"/>
      <w:bookmarkStart w:id="220" w:name="_Toc4776"/>
      <w:r>
        <w:rPr>
          <w:rFonts w:hint="eastAsia" w:ascii="楷体_GB2312" w:hAnsi="楷体_GB2312" w:eastAsia="楷体_GB2312" w:cs="楷体_GB2312"/>
          <w:b/>
          <w:bCs/>
          <w:color w:val="auto"/>
          <w:spacing w:val="8"/>
          <w:sz w:val="32"/>
          <w:szCs w:val="32"/>
          <w:lang w:val="en-US" w:eastAsia="zh-CN"/>
        </w:rPr>
        <w:t>（二）</w:t>
      </w:r>
      <w:r>
        <w:rPr>
          <w:rFonts w:hint="default" w:ascii="楷体_GB2312" w:hAnsi="楷体_GB2312" w:eastAsia="楷体_GB2312" w:cs="楷体_GB2312"/>
          <w:b/>
          <w:bCs/>
          <w:color w:val="auto"/>
          <w:spacing w:val="8"/>
          <w:sz w:val="32"/>
          <w:szCs w:val="32"/>
          <w:lang w:val="en-US" w:eastAsia="zh-CN"/>
        </w:rPr>
        <w:t>工程垃圾减量措施​</w:t>
      </w:r>
      <w:bookmarkEnd w:id="217"/>
      <w:bookmarkEnd w:id="218"/>
      <w:bookmarkEnd w:id="219"/>
      <w:bookmarkEnd w:id="220"/>
    </w:p>
    <w:p w14:paraId="67944E24">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color w:val="auto"/>
          <w:spacing w:val="8"/>
          <w:sz w:val="32"/>
          <w:szCs w:val="32"/>
        </w:rPr>
        <w:t>优先使用绿色建材</w:t>
      </w:r>
      <w:r>
        <w:rPr>
          <w:rFonts w:hint="eastAsia" w:ascii="仿宋_GB2312" w:hAnsi="仿宋_GB2312" w:eastAsia="仿宋_GB2312" w:cs="仿宋_GB2312"/>
          <w:color w:val="auto"/>
          <w:spacing w:val="8"/>
          <w:sz w:val="32"/>
          <w:szCs w:val="32"/>
          <w:lang w:eastAsia="zh-CN"/>
        </w:rPr>
        <w:t>，</w:t>
      </w:r>
      <w:r>
        <w:rPr>
          <w:rFonts w:hint="eastAsia" w:ascii="仿宋_GB2312" w:hAnsi="仿宋_GB2312" w:eastAsia="仿宋_GB2312" w:cs="仿宋_GB2312"/>
          <w:b w:val="0"/>
          <w:bCs w:val="0"/>
          <w:color w:val="auto"/>
          <w:spacing w:val="8"/>
          <w:sz w:val="32"/>
          <w:szCs w:val="32"/>
          <w:lang w:val="en-US" w:eastAsia="zh-CN"/>
        </w:rPr>
        <w:t>采用钢结构、木结构等轻量化建筑结构，减少混凝土、砖块等传统建材使用；推广可拆卸、可循环的建筑节点设计，便于后期维护和材料回收。在施工过程中，可推行“工厂化预制+现场装配”模式，加强施工现场材料管理，实行“限额领料”制度，对钢筋、混凝土等主要材料的损耗率进行严格管控。</w:t>
      </w:r>
    </w:p>
    <w:p w14:paraId="33BE7308">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default" w:ascii="楷体_GB2312" w:hAnsi="楷体_GB2312" w:eastAsia="楷体_GB2312" w:cs="楷体_GB2312"/>
          <w:b/>
          <w:bCs/>
          <w:color w:val="auto"/>
          <w:spacing w:val="8"/>
          <w:sz w:val="32"/>
          <w:szCs w:val="32"/>
          <w:lang w:val="en-US" w:eastAsia="zh-CN"/>
        </w:rPr>
      </w:pPr>
      <w:bookmarkStart w:id="221" w:name="_Toc7463"/>
      <w:bookmarkStart w:id="222" w:name="_Toc7594"/>
      <w:bookmarkStart w:id="223" w:name="_Toc25190"/>
      <w:bookmarkStart w:id="224" w:name="_Toc22238"/>
      <w:r>
        <w:rPr>
          <w:rFonts w:hint="eastAsia" w:ascii="楷体_GB2312" w:hAnsi="楷体_GB2312" w:eastAsia="楷体_GB2312" w:cs="楷体_GB2312"/>
          <w:b/>
          <w:bCs/>
          <w:color w:val="auto"/>
          <w:spacing w:val="8"/>
          <w:sz w:val="32"/>
          <w:szCs w:val="32"/>
          <w:lang w:val="en-US" w:eastAsia="zh-CN"/>
        </w:rPr>
        <w:t>（三）</w:t>
      </w:r>
      <w:r>
        <w:rPr>
          <w:rFonts w:hint="default" w:ascii="楷体_GB2312" w:hAnsi="楷体_GB2312" w:eastAsia="楷体_GB2312" w:cs="楷体_GB2312"/>
          <w:b/>
          <w:bCs/>
          <w:color w:val="auto"/>
          <w:spacing w:val="8"/>
          <w:sz w:val="32"/>
          <w:szCs w:val="32"/>
          <w:lang w:val="en-US" w:eastAsia="zh-CN"/>
        </w:rPr>
        <w:t>拆除垃圾减量措施​</w:t>
      </w:r>
      <w:bookmarkEnd w:id="221"/>
      <w:bookmarkEnd w:id="222"/>
      <w:bookmarkEnd w:id="223"/>
      <w:bookmarkEnd w:id="224"/>
    </w:p>
    <w:p w14:paraId="4D748913">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2" w:firstLineChars="200"/>
        <w:textAlignment w:val="baseline"/>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color w:val="auto"/>
          <w:spacing w:val="8"/>
          <w:sz w:val="32"/>
          <w:szCs w:val="32"/>
        </w:rPr>
        <w:t>以“分类拆除、源头回收”为核心优化拆除作业流程，在拆除工程立项阶段同步制定拆除垃圾减量与分类方案，明确不同类型构件的拆除顺序与回收利用路径，优先对门窗、管线、钢结构构件等可循环利用部件进行保护性拆除，避免破坏性拆除造成的资源浪费。加强拆除现场管理，配备专业分类设备与人员，对拆除垃圾按“可回收物（金属、木材、塑料）、可资源化利用物（混凝土块、砖石）、不可利用物”三类实时分拣，分类堆放、分类运输；引入专业建筑垃圾资源化企业提前介入拆除环节，对混凝土块、砖石等可资源化垃圾现场破碎加工为再生骨料，直接用于场地回填、路基铺设等，减少清运量与消纳量。</w:t>
      </w:r>
      <w:r>
        <w:rPr>
          <w:rFonts w:hint="default" w:ascii="仿宋_GB2312" w:hAnsi="仿宋_GB2312" w:eastAsia="仿宋_GB2312" w:cs="仿宋_GB2312"/>
          <w:b w:val="0"/>
          <w:bCs w:val="0"/>
          <w:color w:val="auto"/>
          <w:spacing w:val="8"/>
          <w:sz w:val="32"/>
          <w:szCs w:val="32"/>
          <w:lang w:val="en-US" w:eastAsia="zh-CN"/>
        </w:rPr>
        <w:t>​</w:t>
      </w:r>
    </w:p>
    <w:p w14:paraId="727F0599">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default" w:ascii="楷体_GB2312" w:hAnsi="楷体_GB2312" w:eastAsia="楷体_GB2312" w:cs="楷体_GB2312"/>
          <w:b/>
          <w:bCs/>
          <w:color w:val="auto"/>
          <w:spacing w:val="8"/>
          <w:sz w:val="32"/>
          <w:szCs w:val="32"/>
          <w:lang w:val="en-US" w:eastAsia="zh-CN"/>
        </w:rPr>
      </w:pPr>
      <w:bookmarkStart w:id="225" w:name="_Toc27653"/>
      <w:bookmarkStart w:id="226" w:name="_Toc28643"/>
      <w:bookmarkStart w:id="227" w:name="_Toc8168"/>
      <w:bookmarkStart w:id="228" w:name="_Toc21665"/>
      <w:r>
        <w:rPr>
          <w:rFonts w:hint="eastAsia" w:ascii="楷体_GB2312" w:hAnsi="楷体_GB2312" w:eastAsia="楷体_GB2312" w:cs="楷体_GB2312"/>
          <w:b/>
          <w:bCs/>
          <w:color w:val="auto"/>
          <w:spacing w:val="8"/>
          <w:sz w:val="32"/>
          <w:szCs w:val="32"/>
          <w:lang w:val="en-US" w:eastAsia="zh-CN"/>
        </w:rPr>
        <w:t>（四）</w:t>
      </w:r>
      <w:r>
        <w:rPr>
          <w:rFonts w:hint="default" w:ascii="楷体_GB2312" w:hAnsi="楷体_GB2312" w:eastAsia="楷体_GB2312" w:cs="楷体_GB2312"/>
          <w:b/>
          <w:bCs/>
          <w:color w:val="auto"/>
          <w:spacing w:val="8"/>
          <w:sz w:val="32"/>
          <w:szCs w:val="32"/>
          <w:lang w:val="en-US" w:eastAsia="zh-CN"/>
        </w:rPr>
        <w:t>装修垃圾减量措施​</w:t>
      </w:r>
      <w:bookmarkEnd w:id="225"/>
      <w:bookmarkEnd w:id="226"/>
      <w:bookmarkEnd w:id="227"/>
      <w:bookmarkEnd w:id="228"/>
    </w:p>
    <w:p w14:paraId="4F41FC04">
      <w:pPr>
        <w:keepNext w:val="0"/>
        <w:keepLines w:val="0"/>
        <w:pageBreakBefore w:val="0"/>
        <w:widowControl w:val="0"/>
        <w:kinsoku/>
        <w:wordWrap/>
        <w:overflowPunct/>
        <w:topLinePunct w:val="0"/>
        <w:autoSpaceDE w:val="0"/>
        <w:autoSpaceDN w:val="0"/>
        <w:bidi w:val="0"/>
        <w:adjustRightInd w:val="0"/>
        <w:snapToGrid w:val="0"/>
        <w:spacing w:line="560" w:lineRule="exact"/>
        <w:ind w:left="0" w:right="0" w:firstLine="672" w:firstLineChars="200"/>
        <w:textAlignment w:val="baseline"/>
        <w:rPr>
          <w:rFonts w:hint="eastAsia"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color w:val="auto"/>
          <w:spacing w:val="8"/>
          <w:sz w:val="32"/>
          <w:szCs w:val="32"/>
        </w:rPr>
        <w:t>推广全装修房，改善施工工艺，提高施工水</w:t>
      </w:r>
      <w:r>
        <w:rPr>
          <w:rFonts w:hint="eastAsia" w:ascii="仿宋_GB2312" w:hAnsi="仿宋_GB2312" w:eastAsia="仿宋_GB2312" w:cs="仿宋_GB2312"/>
          <w:color w:val="auto"/>
          <w:spacing w:val="9"/>
          <w:sz w:val="32"/>
          <w:szCs w:val="32"/>
        </w:rPr>
        <w:t>平</w:t>
      </w:r>
      <w:r>
        <w:rPr>
          <w:rFonts w:hint="eastAsia" w:ascii="仿宋_GB2312" w:hAnsi="仿宋_GB2312" w:eastAsia="仿宋_GB2312" w:cs="仿宋_GB2312"/>
          <w:color w:val="auto"/>
          <w:spacing w:val="9"/>
          <w:sz w:val="32"/>
          <w:szCs w:val="32"/>
          <w:lang w:eastAsia="zh-CN"/>
        </w:rPr>
        <w:t>。</w:t>
      </w:r>
      <w:r>
        <w:rPr>
          <w:rFonts w:hint="eastAsia" w:ascii="仿宋_GB2312" w:hAnsi="仿宋_GB2312" w:eastAsia="仿宋_GB2312" w:cs="仿宋_GB2312"/>
          <w:b w:val="0"/>
          <w:bCs w:val="0"/>
          <w:color w:val="auto"/>
          <w:spacing w:val="8"/>
          <w:sz w:val="32"/>
          <w:szCs w:val="32"/>
          <w:lang w:val="en-US" w:eastAsia="zh-CN"/>
        </w:rPr>
        <w:t>全装修项目采用模块化装修、干法施工工艺，减少涂料、胶粘剂等挥发性材料使用，降低装修垃圾产生量。</w:t>
      </w:r>
    </w:p>
    <w:p w14:paraId="45D1B10D">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0" w:firstLineChars="200"/>
        <w:textAlignment w:val="baseline"/>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鼓励使用绿色环保、可循环的装修材料（如再生地板、装配式墙板），建立装修材料余料回收机制，对未使用的涂料、瓷砖等余料，由建设单位统一回收再利用或协调至其他项目使用。</w:t>
      </w:r>
      <w:r>
        <w:rPr>
          <w:rFonts w:hint="eastAsia" w:ascii="仿宋_GB2312" w:hAnsi="仿宋_GB2312" w:eastAsia="仿宋_GB2312" w:cs="仿宋_GB2312"/>
          <w:color w:val="auto"/>
          <w:spacing w:val="9"/>
          <w:sz w:val="32"/>
          <w:szCs w:val="32"/>
        </w:rPr>
        <w:t>通过统筹工程策划、设计、施工等阶段</w:t>
      </w:r>
      <w:r>
        <w:rPr>
          <w:rFonts w:hint="eastAsia" w:ascii="仿宋_GB2312" w:hAnsi="仿宋_GB2312" w:eastAsia="仿宋_GB2312" w:cs="仿宋_GB2312"/>
          <w:color w:val="auto"/>
          <w:spacing w:val="8"/>
          <w:sz w:val="32"/>
          <w:szCs w:val="32"/>
        </w:rPr>
        <w:t>，从源头上预防和减少工程建设过程中建筑垃圾的产生。</w:t>
      </w:r>
    </w:p>
    <w:p w14:paraId="1122FC2B">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0" w:firstLineChars="200"/>
        <w:textAlignment w:val="baseline"/>
        <w:rPr>
          <w:rFonts w:hint="eastAsia" w:ascii="仿宋_GB2312" w:hAnsi="仿宋_GB2312" w:eastAsia="仿宋_GB2312" w:cs="仿宋_GB2312"/>
          <w:color w:val="auto"/>
          <w:sz w:val="32"/>
          <w:szCs w:val="32"/>
        </w:rPr>
        <w:sectPr>
          <w:headerReference r:id="rId10" w:type="default"/>
          <w:pgSz w:w="23811" w:h="16838" w:orient="landscape"/>
          <w:pgMar w:top="1800" w:right="1440" w:bottom="1800" w:left="1440" w:header="851" w:footer="992" w:gutter="0"/>
          <w:pgNumType w:fmt="numberInDash"/>
          <w:cols w:space="2106" w:num="2"/>
          <w:docGrid w:type="lines" w:linePitch="312" w:charSpace="0"/>
        </w:sectPr>
      </w:pPr>
    </w:p>
    <w:p w14:paraId="087F7E3E">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313" w:afterLines="100" w:line="560" w:lineRule="exact"/>
        <w:ind w:right="0" w:rightChars="0"/>
        <w:jc w:val="center"/>
        <w:textAlignment w:val="baseline"/>
        <w:outlineLvl w:val="0"/>
        <w:rPr>
          <w:rFonts w:hint="eastAsia" w:ascii="黑体" w:hAnsi="黑体" w:eastAsia="黑体" w:cs="黑体"/>
          <w:color w:val="auto"/>
          <w:spacing w:val="7"/>
          <w:sz w:val="44"/>
          <w:szCs w:val="44"/>
          <w:lang w:val="en-US" w:eastAsia="zh-CN"/>
        </w:rPr>
      </w:pPr>
      <w:bookmarkStart w:id="229" w:name="_Toc26986"/>
      <w:bookmarkStart w:id="230" w:name="_Toc8929"/>
      <w:bookmarkStart w:id="231" w:name="_Toc21494"/>
      <w:bookmarkStart w:id="232" w:name="_Toc16676"/>
      <w:r>
        <w:rPr>
          <w:rFonts w:hint="eastAsia" w:ascii="黑体" w:hAnsi="黑体" w:eastAsia="黑体" w:cs="黑体"/>
          <w:color w:val="auto"/>
          <w:spacing w:val="7"/>
          <w:sz w:val="44"/>
          <w:szCs w:val="44"/>
          <w:lang w:val="en-US" w:eastAsia="zh-CN"/>
        </w:rPr>
        <w:t>第五章 收集运输</w:t>
      </w:r>
      <w:bookmarkEnd w:id="229"/>
      <w:bookmarkEnd w:id="230"/>
      <w:bookmarkEnd w:id="231"/>
      <w:bookmarkEnd w:id="232"/>
    </w:p>
    <w:p w14:paraId="1ED5A946">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eastAsia" w:ascii="黑体" w:hAnsi="黑体" w:eastAsia="黑体" w:cs="黑体"/>
          <w:b w:val="0"/>
          <w:bCs w:val="0"/>
          <w:color w:val="auto"/>
          <w:spacing w:val="2"/>
          <w:sz w:val="31"/>
          <w:szCs w:val="31"/>
          <w:lang w:val="en-US" w:eastAsia="zh-CN"/>
        </w:rPr>
      </w:pPr>
      <w:bookmarkStart w:id="233" w:name="_Toc10004"/>
      <w:bookmarkStart w:id="234" w:name="_Toc15172"/>
      <w:bookmarkStart w:id="235" w:name="_Toc9405"/>
      <w:bookmarkStart w:id="236" w:name="_Toc27489"/>
      <w:r>
        <w:rPr>
          <w:rFonts w:hint="eastAsia" w:ascii="黑体" w:hAnsi="黑体" w:eastAsia="黑体" w:cs="黑体"/>
          <w:b w:val="0"/>
          <w:bCs w:val="0"/>
          <w:color w:val="auto"/>
          <w:spacing w:val="2"/>
          <w:sz w:val="31"/>
          <w:szCs w:val="31"/>
          <w:lang w:val="en-US" w:eastAsia="zh-CN"/>
        </w:rPr>
        <w:t>一、收运模式</w:t>
      </w:r>
      <w:bookmarkEnd w:id="233"/>
      <w:bookmarkEnd w:id="234"/>
      <w:bookmarkEnd w:id="235"/>
      <w:bookmarkEnd w:id="236"/>
    </w:p>
    <w:p w14:paraId="43917170">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rPr>
        <w:t>规划</w:t>
      </w:r>
      <w:r>
        <w:rPr>
          <w:rFonts w:hint="eastAsia" w:ascii="仿宋_GB2312" w:hAnsi="仿宋_GB2312" w:eastAsia="仿宋_GB2312" w:cs="仿宋_GB2312"/>
          <w:color w:val="auto"/>
          <w:spacing w:val="6"/>
          <w:sz w:val="31"/>
          <w:szCs w:val="31"/>
          <w:lang w:val="en-US" w:eastAsia="zh-CN"/>
        </w:rPr>
        <w:t>甘州区</w:t>
      </w:r>
      <w:r>
        <w:rPr>
          <w:rFonts w:hint="eastAsia" w:ascii="仿宋_GB2312" w:hAnsi="仿宋_GB2312" w:eastAsia="仿宋_GB2312" w:cs="仿宋_GB2312"/>
          <w:color w:val="auto"/>
          <w:spacing w:val="6"/>
          <w:sz w:val="31"/>
          <w:szCs w:val="31"/>
        </w:rPr>
        <w:t>建筑垃圾收运为“分类堆放、密闭运输、双限收运、智慧监管”模式。工程渣土、工程泥浆、工程垃圾和拆除垃圾在工地进行分类堆放，装修垃圾进行定点投放，并实施二次分拣；建筑垃圾收集车在限定的时间内按限定的路线进行沿线收集，直到收集的建筑垃圾</w:t>
      </w:r>
      <w:r>
        <w:rPr>
          <w:rFonts w:hint="eastAsia" w:ascii="仿宋_GB2312" w:hAnsi="仿宋_GB2312" w:eastAsia="仿宋_GB2312" w:cs="仿宋_GB2312"/>
          <w:color w:val="auto"/>
          <w:spacing w:val="6"/>
          <w:sz w:val="31"/>
          <w:szCs w:val="31"/>
          <w:lang w:eastAsia="zh-CN"/>
        </w:rPr>
        <w:t>达到</w:t>
      </w:r>
      <w:r>
        <w:rPr>
          <w:rFonts w:hint="eastAsia" w:ascii="仿宋_GB2312" w:hAnsi="仿宋_GB2312" w:eastAsia="仿宋_GB2312" w:cs="仿宋_GB2312"/>
          <w:color w:val="auto"/>
          <w:spacing w:val="6"/>
          <w:sz w:val="31"/>
          <w:szCs w:val="31"/>
        </w:rPr>
        <w:t>运输车辆的最大承载量，则按指定路线返回建筑垃圾处置场所，清空垃圾后再次出发按照既定路线继续收集。通过跟踪运输车辆轨迹，执行“三联单”制度（产生、运输、处置三方签字）</w:t>
      </w:r>
      <w:r>
        <w:rPr>
          <w:rFonts w:hint="eastAsia" w:ascii="仿宋_GB2312" w:hAnsi="仿宋_GB2312" w:eastAsia="仿宋_GB2312" w:cs="仿宋_GB2312"/>
          <w:color w:val="auto"/>
          <w:spacing w:val="6"/>
          <w:sz w:val="31"/>
          <w:szCs w:val="31"/>
          <w:lang w:eastAsia="zh-CN"/>
        </w:rPr>
        <w:t>，</w:t>
      </w:r>
      <w:r>
        <w:rPr>
          <w:rFonts w:hint="eastAsia" w:ascii="仿宋_GB2312" w:hAnsi="仿宋_GB2312" w:eastAsia="仿宋_GB2312" w:cs="仿宋_GB2312"/>
          <w:color w:val="auto"/>
          <w:spacing w:val="6"/>
          <w:sz w:val="31"/>
          <w:szCs w:val="31"/>
        </w:rPr>
        <w:t>确保从产生到处置的全流程追溯。</w:t>
      </w:r>
    </w:p>
    <w:p w14:paraId="6E96E1C9">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eastAsia" w:ascii="黑体" w:hAnsi="黑体" w:eastAsia="黑体" w:cs="黑体"/>
          <w:b w:val="0"/>
          <w:bCs w:val="0"/>
          <w:color w:val="auto"/>
          <w:spacing w:val="2"/>
          <w:sz w:val="31"/>
          <w:szCs w:val="31"/>
          <w:lang w:val="en-US" w:eastAsia="zh-CN"/>
        </w:rPr>
      </w:pPr>
      <w:bookmarkStart w:id="237" w:name="_Toc9685"/>
      <w:bookmarkStart w:id="238" w:name="_Toc21443"/>
      <w:bookmarkStart w:id="239" w:name="_Toc25483"/>
      <w:bookmarkStart w:id="240" w:name="_Toc29781"/>
      <w:r>
        <w:rPr>
          <w:rFonts w:hint="eastAsia" w:ascii="黑体" w:hAnsi="黑体" w:eastAsia="黑体" w:cs="黑体"/>
          <w:b w:val="0"/>
          <w:bCs w:val="0"/>
          <w:color w:val="auto"/>
          <w:spacing w:val="2"/>
          <w:sz w:val="31"/>
          <w:szCs w:val="31"/>
          <w:lang w:val="en-US" w:eastAsia="zh-CN"/>
        </w:rPr>
        <w:t>二、收运要求</w:t>
      </w:r>
      <w:bookmarkEnd w:id="237"/>
      <w:bookmarkEnd w:id="238"/>
      <w:bookmarkEnd w:id="239"/>
      <w:bookmarkEnd w:id="240"/>
    </w:p>
    <w:p w14:paraId="7DA82014">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241" w:name="_Toc13172"/>
      <w:bookmarkStart w:id="242" w:name="_Toc17012"/>
      <w:bookmarkStart w:id="243" w:name="_Toc29793"/>
      <w:bookmarkStart w:id="244" w:name="_Toc31125"/>
      <w:r>
        <w:rPr>
          <w:rFonts w:hint="eastAsia" w:ascii="楷体_GB2312" w:hAnsi="楷体_GB2312" w:eastAsia="楷体_GB2312" w:cs="楷体_GB2312"/>
          <w:b/>
          <w:bCs/>
          <w:color w:val="auto"/>
          <w:spacing w:val="8"/>
          <w:sz w:val="32"/>
          <w:szCs w:val="32"/>
          <w:lang w:val="en-US" w:eastAsia="zh-CN"/>
        </w:rPr>
        <w:t>（一）核准资质</w:t>
      </w:r>
      <w:bookmarkEnd w:id="241"/>
      <w:bookmarkEnd w:id="242"/>
      <w:bookmarkEnd w:id="243"/>
      <w:bookmarkEnd w:id="244"/>
    </w:p>
    <w:p w14:paraId="1A2537A5">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rPr>
        <w:t>建设单位或施工单位需在开工前办理《城市建设垃圾处置许可证（产生）（运输）（处置）》，同时提交建筑垃圾处置方案、运输合同等材料，企业且须进入《甘州区建筑垃圾运输企业名录》。企业</w:t>
      </w:r>
      <w:r>
        <w:rPr>
          <w:rFonts w:hint="eastAsia" w:ascii="仿宋_GB2312" w:hAnsi="仿宋_GB2312" w:eastAsia="仿宋_GB2312" w:cs="仿宋_GB2312"/>
          <w:color w:val="auto"/>
          <w:spacing w:val="6"/>
          <w:sz w:val="31"/>
          <w:szCs w:val="31"/>
          <w:lang w:eastAsia="zh-CN"/>
        </w:rPr>
        <w:t>须具备</w:t>
      </w:r>
      <w:r>
        <w:rPr>
          <w:rFonts w:hint="eastAsia" w:ascii="仿宋_GB2312" w:hAnsi="仿宋_GB2312" w:eastAsia="仿宋_GB2312" w:cs="仿宋_GB2312"/>
          <w:color w:val="auto"/>
          <w:spacing w:val="6"/>
          <w:sz w:val="31"/>
          <w:szCs w:val="31"/>
        </w:rPr>
        <w:t>独立法人资格、固定办公场所及停车场地。</w:t>
      </w:r>
    </w:p>
    <w:p w14:paraId="3369E55C">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245" w:name="_Toc27297"/>
      <w:bookmarkStart w:id="246" w:name="_Toc6549"/>
      <w:bookmarkStart w:id="247" w:name="_Toc11298"/>
      <w:bookmarkStart w:id="248" w:name="_Toc31762"/>
      <w:r>
        <w:rPr>
          <w:rFonts w:hint="eastAsia" w:ascii="楷体_GB2312" w:hAnsi="楷体_GB2312" w:eastAsia="楷体_GB2312" w:cs="楷体_GB2312"/>
          <w:b/>
          <w:bCs/>
          <w:color w:val="auto"/>
          <w:spacing w:val="8"/>
          <w:sz w:val="32"/>
          <w:szCs w:val="32"/>
          <w:lang w:val="en-US" w:eastAsia="zh-CN"/>
        </w:rPr>
        <w:t>（二）分类收集</w:t>
      </w:r>
      <w:bookmarkEnd w:id="245"/>
      <w:bookmarkEnd w:id="246"/>
      <w:bookmarkEnd w:id="247"/>
      <w:bookmarkEnd w:id="248"/>
    </w:p>
    <w:p w14:paraId="1E96CE96">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rPr>
        <w:t>建筑垃圾实行分类收集、运输、处置全面管控，确保无管理漏洞现象的发生。为便于实现无害化、资源化处理，建设施工、房屋拆迁等场所产生的建筑垃圾应对其种类、性质、产量、利用等建立台账，并进行分别堆放、分类收运、分类处理。</w:t>
      </w:r>
    </w:p>
    <w:p w14:paraId="23A964E6">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249" w:name="_Toc15978"/>
      <w:bookmarkStart w:id="250" w:name="_Toc5482"/>
      <w:bookmarkStart w:id="251" w:name="_Toc976"/>
      <w:bookmarkStart w:id="252" w:name="_Toc20968"/>
      <w:r>
        <w:rPr>
          <w:rFonts w:hint="eastAsia" w:ascii="楷体_GB2312" w:hAnsi="楷体_GB2312" w:eastAsia="楷体_GB2312" w:cs="楷体_GB2312"/>
          <w:b/>
          <w:bCs/>
          <w:color w:val="auto"/>
          <w:spacing w:val="8"/>
          <w:sz w:val="32"/>
          <w:szCs w:val="32"/>
          <w:lang w:val="en-US" w:eastAsia="zh-CN"/>
        </w:rPr>
        <w:t>（三）密闭运输</w:t>
      </w:r>
      <w:bookmarkEnd w:id="249"/>
      <w:bookmarkEnd w:id="250"/>
      <w:bookmarkEnd w:id="251"/>
      <w:bookmarkEnd w:id="252"/>
    </w:p>
    <w:p w14:paraId="248B3BE0">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rPr>
        <w:t>建筑垃圾转运实现100%密闭化运输。为避免运输过程中掉落尘土或</w:t>
      </w:r>
      <w:r>
        <w:rPr>
          <w:rFonts w:hint="eastAsia" w:ascii="仿宋_GB2312" w:hAnsi="仿宋_GB2312" w:eastAsia="仿宋_GB2312" w:cs="仿宋_GB2312"/>
          <w:color w:val="auto"/>
          <w:spacing w:val="6"/>
          <w:sz w:val="31"/>
          <w:szCs w:val="31"/>
          <w:lang w:eastAsia="zh-CN"/>
        </w:rPr>
        <w:t>随风飘浮</w:t>
      </w:r>
      <w:r>
        <w:rPr>
          <w:rFonts w:hint="eastAsia" w:ascii="仿宋_GB2312" w:hAnsi="仿宋_GB2312" w:eastAsia="仿宋_GB2312" w:cs="仿宋_GB2312"/>
          <w:color w:val="auto"/>
          <w:spacing w:val="6"/>
          <w:sz w:val="31"/>
          <w:szCs w:val="31"/>
        </w:rPr>
        <w:t>，建筑垃圾运输车要求全部采用密闭式车厢，将建筑垃圾完全封闭进行运输，不得超载，途中不得抛撒滴漏。为保持建筑垃圾运输车的美观性，应定期对运输车进行全面清洗。</w:t>
      </w:r>
    </w:p>
    <w:p w14:paraId="27C7F222">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253" w:name="_Toc23383"/>
      <w:bookmarkStart w:id="254" w:name="_Toc8950"/>
      <w:bookmarkStart w:id="255" w:name="_Toc26575"/>
      <w:bookmarkStart w:id="256" w:name="_Toc17839"/>
      <w:r>
        <w:rPr>
          <w:rFonts w:hint="eastAsia" w:ascii="楷体_GB2312" w:hAnsi="楷体_GB2312" w:eastAsia="楷体_GB2312" w:cs="楷体_GB2312"/>
          <w:b/>
          <w:bCs/>
          <w:color w:val="auto"/>
          <w:spacing w:val="8"/>
          <w:sz w:val="32"/>
          <w:szCs w:val="32"/>
          <w:lang w:val="en-US" w:eastAsia="zh-CN"/>
        </w:rPr>
        <w:t>（四）运输路线</w:t>
      </w:r>
      <w:bookmarkEnd w:id="253"/>
      <w:bookmarkEnd w:id="254"/>
      <w:bookmarkEnd w:id="255"/>
      <w:bookmarkEnd w:id="256"/>
    </w:p>
    <w:p w14:paraId="331F7B5A">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rPr>
        <w:t>建筑垃圾运输一般采用建筑垃圾收集点—次要道路/主要道路—建筑垃圾专用道路—建筑垃圾</w:t>
      </w:r>
      <w:r>
        <w:rPr>
          <w:rFonts w:hint="eastAsia" w:ascii="仿宋_GB2312" w:hAnsi="仿宋_GB2312" w:eastAsia="仿宋_GB2312" w:cs="仿宋_GB2312"/>
          <w:color w:val="auto"/>
          <w:spacing w:val="6"/>
          <w:sz w:val="31"/>
          <w:szCs w:val="31"/>
          <w:lang w:val="en-US" w:eastAsia="zh-CN"/>
        </w:rPr>
        <w:t>处置</w:t>
      </w:r>
      <w:r>
        <w:rPr>
          <w:rFonts w:hint="eastAsia" w:ascii="仿宋_GB2312" w:hAnsi="仿宋_GB2312" w:eastAsia="仿宋_GB2312" w:cs="仿宋_GB2312"/>
          <w:color w:val="auto"/>
          <w:spacing w:val="6"/>
          <w:sz w:val="31"/>
          <w:szCs w:val="31"/>
        </w:rPr>
        <w:t>场/建筑垃圾资源化利用中心的路线，运输路线需经相关部门批准。照其指定的区域、路线、时段进行运输。所有建筑垃圾运输车辆应按照规定向甘州区</w:t>
      </w:r>
      <w:r>
        <w:rPr>
          <w:rFonts w:hint="eastAsia" w:ascii="仿宋_GB2312" w:hAnsi="仿宋_GB2312" w:eastAsia="仿宋_GB2312" w:cs="仿宋_GB2312"/>
          <w:color w:val="auto"/>
          <w:spacing w:val="6"/>
          <w:sz w:val="31"/>
          <w:szCs w:val="31"/>
          <w:lang w:val="en-US" w:eastAsia="zh-CN"/>
        </w:rPr>
        <w:t>城市管理局</w:t>
      </w:r>
      <w:r>
        <w:rPr>
          <w:rFonts w:hint="eastAsia" w:ascii="仿宋_GB2312" w:hAnsi="仿宋_GB2312" w:eastAsia="仿宋_GB2312" w:cs="仿宋_GB2312"/>
          <w:color w:val="auto"/>
          <w:spacing w:val="6"/>
          <w:sz w:val="31"/>
          <w:szCs w:val="31"/>
        </w:rPr>
        <w:t>进行申报。收运车辆必须按照公安交通管理部门有关规定进行车辆</w:t>
      </w:r>
      <w:r>
        <w:rPr>
          <w:rFonts w:hint="eastAsia" w:ascii="仿宋_GB2312" w:hAnsi="仿宋_GB2312" w:eastAsia="仿宋_GB2312" w:cs="仿宋_GB2312"/>
          <w:color w:val="auto"/>
          <w:spacing w:val="6"/>
          <w:sz w:val="31"/>
          <w:szCs w:val="31"/>
          <w:lang w:eastAsia="zh-CN"/>
        </w:rPr>
        <w:t>登记</w:t>
      </w:r>
      <w:r>
        <w:rPr>
          <w:rFonts w:hint="eastAsia" w:ascii="仿宋_GB2312" w:hAnsi="仿宋_GB2312" w:eastAsia="仿宋_GB2312" w:cs="仿宋_GB2312"/>
          <w:color w:val="auto"/>
          <w:spacing w:val="6"/>
          <w:sz w:val="31"/>
          <w:szCs w:val="31"/>
        </w:rPr>
        <w:t>、车厢密闭改装年检、办理城区《通行证》。收运车辆通过</w:t>
      </w:r>
      <w:r>
        <w:rPr>
          <w:rFonts w:hint="eastAsia" w:ascii="仿宋_GB2312" w:hAnsi="仿宋_GB2312" w:eastAsia="仿宋_GB2312" w:cs="仿宋_GB2312"/>
          <w:color w:val="auto"/>
          <w:spacing w:val="-6"/>
          <w:sz w:val="31"/>
          <w:szCs w:val="31"/>
        </w:rPr>
        <w:t>加装行驶装卸记录仪装置接入“集运系统”实现信息化的管理和监控。</w:t>
      </w:r>
    </w:p>
    <w:p w14:paraId="1BD3D195">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rPr>
        <w:t>另外，建筑垃圾收运线路应遵循以下原则：</w:t>
      </w:r>
    </w:p>
    <w:p w14:paraId="11A92FBE">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lang w:val="en-US" w:eastAsia="zh-CN"/>
        </w:rPr>
        <w:t>1.</w:t>
      </w:r>
      <w:r>
        <w:rPr>
          <w:rFonts w:hint="eastAsia" w:ascii="仿宋_GB2312" w:hAnsi="仿宋_GB2312" w:eastAsia="仿宋_GB2312" w:cs="仿宋_GB2312"/>
          <w:color w:val="auto"/>
          <w:spacing w:val="6"/>
          <w:sz w:val="31"/>
          <w:szCs w:val="31"/>
        </w:rPr>
        <w:t>收运路线应尽可能紧凑，避免重复或断续。</w:t>
      </w:r>
    </w:p>
    <w:p w14:paraId="69D22A4F">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lang w:val="en-US" w:eastAsia="zh-CN"/>
        </w:rPr>
        <w:t>2.</w:t>
      </w:r>
      <w:r>
        <w:rPr>
          <w:rFonts w:hint="eastAsia" w:ascii="仿宋_GB2312" w:hAnsi="仿宋_GB2312" w:eastAsia="仿宋_GB2312" w:cs="仿宋_GB2312"/>
          <w:color w:val="auto"/>
          <w:spacing w:val="6"/>
          <w:sz w:val="31"/>
          <w:szCs w:val="31"/>
        </w:rPr>
        <w:t>收运路线应能平衡工作量，使每个作业阶段、每条线路的收集和运输时间大致相等。</w:t>
      </w:r>
    </w:p>
    <w:p w14:paraId="569450C8">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lang w:val="en-US" w:eastAsia="zh-CN"/>
        </w:rPr>
        <w:t>3.</w:t>
      </w:r>
      <w:r>
        <w:rPr>
          <w:rFonts w:hint="eastAsia" w:ascii="仿宋_GB2312" w:hAnsi="仿宋_GB2312" w:eastAsia="仿宋_GB2312" w:cs="仿宋_GB2312"/>
          <w:color w:val="auto"/>
          <w:spacing w:val="6"/>
          <w:sz w:val="31"/>
          <w:szCs w:val="31"/>
        </w:rPr>
        <w:t>收运路线应避开交通拥挤的高峰时间段。</w:t>
      </w:r>
    </w:p>
    <w:p w14:paraId="7EFC3391">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lang w:val="en-US" w:eastAsia="zh-CN"/>
        </w:rPr>
        <w:t>4.</w:t>
      </w:r>
      <w:r>
        <w:rPr>
          <w:rFonts w:hint="eastAsia" w:ascii="仿宋_GB2312" w:hAnsi="仿宋_GB2312" w:eastAsia="仿宋_GB2312" w:cs="仿宋_GB2312"/>
          <w:color w:val="auto"/>
          <w:spacing w:val="6"/>
          <w:sz w:val="31"/>
          <w:szCs w:val="31"/>
        </w:rPr>
        <w:t>收运路线起始点最好位于工地或停车场附近。</w:t>
      </w:r>
    </w:p>
    <w:p w14:paraId="583D354A">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lang w:val="en-US" w:eastAsia="zh-CN"/>
        </w:rPr>
        <w:t>5.</w:t>
      </w:r>
      <w:r>
        <w:rPr>
          <w:rFonts w:hint="eastAsia" w:ascii="仿宋_GB2312" w:hAnsi="仿宋_GB2312" w:eastAsia="仿宋_GB2312" w:cs="仿宋_GB2312"/>
          <w:color w:val="auto"/>
          <w:spacing w:val="6"/>
          <w:sz w:val="31"/>
          <w:szCs w:val="31"/>
        </w:rPr>
        <w:t>收运路线应尽量避免穿越城区，尽量减少对城市环境的影响。</w:t>
      </w:r>
    </w:p>
    <w:p w14:paraId="58C4ED97">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eastAsia" w:ascii="黑体" w:hAnsi="黑体" w:eastAsia="黑体" w:cs="黑体"/>
          <w:b w:val="0"/>
          <w:bCs w:val="0"/>
          <w:color w:val="auto"/>
          <w:spacing w:val="2"/>
          <w:sz w:val="31"/>
          <w:szCs w:val="31"/>
          <w:lang w:val="en-US" w:eastAsia="zh-CN"/>
        </w:rPr>
      </w:pPr>
      <w:bookmarkStart w:id="257" w:name="_Toc790"/>
      <w:bookmarkStart w:id="258" w:name="_Toc32320"/>
      <w:bookmarkStart w:id="259" w:name="_Toc6025"/>
      <w:bookmarkStart w:id="260" w:name="_Toc9522"/>
      <w:r>
        <w:rPr>
          <w:rFonts w:hint="eastAsia" w:ascii="黑体" w:hAnsi="黑体" w:eastAsia="黑体" w:cs="黑体"/>
          <w:b w:val="0"/>
          <w:bCs w:val="0"/>
          <w:color w:val="auto"/>
          <w:spacing w:val="2"/>
          <w:sz w:val="31"/>
          <w:szCs w:val="31"/>
          <w:lang w:val="en-US" w:eastAsia="zh-CN"/>
        </w:rPr>
        <w:t>三、分类收运</w:t>
      </w:r>
      <w:bookmarkEnd w:id="257"/>
      <w:bookmarkEnd w:id="258"/>
      <w:bookmarkEnd w:id="259"/>
      <w:bookmarkEnd w:id="260"/>
    </w:p>
    <w:p w14:paraId="2134B789">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仿宋_GB2312" w:hAnsi="仿宋_GB2312" w:eastAsia="仿宋_GB2312" w:cs="仿宋_GB2312"/>
          <w:color w:val="auto"/>
          <w:spacing w:val="6"/>
          <w:sz w:val="31"/>
          <w:szCs w:val="31"/>
        </w:rPr>
      </w:pPr>
      <w:bookmarkStart w:id="261" w:name="_Toc19799"/>
      <w:bookmarkStart w:id="262" w:name="_Toc6750"/>
      <w:bookmarkStart w:id="263" w:name="_Toc28840"/>
      <w:bookmarkStart w:id="264" w:name="_Toc20954"/>
      <w:r>
        <w:rPr>
          <w:rFonts w:hint="eastAsia" w:ascii="楷体_GB2312" w:hAnsi="楷体_GB2312" w:eastAsia="楷体_GB2312" w:cs="楷体_GB2312"/>
          <w:b/>
          <w:bCs/>
          <w:color w:val="auto"/>
          <w:spacing w:val="8"/>
          <w:sz w:val="32"/>
          <w:szCs w:val="32"/>
          <w:lang w:val="en-US" w:eastAsia="zh-CN"/>
        </w:rPr>
        <w:t>（一）工程渣土、工程泥浆、工程垃圾和拆除垃圾</w:t>
      </w:r>
      <w:bookmarkEnd w:id="261"/>
      <w:bookmarkEnd w:id="262"/>
      <w:bookmarkEnd w:id="263"/>
      <w:bookmarkEnd w:id="264"/>
    </w:p>
    <w:p w14:paraId="036AFB30">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6"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b/>
          <w:bCs/>
          <w:color w:val="auto"/>
          <w:spacing w:val="6"/>
          <w:sz w:val="31"/>
          <w:szCs w:val="31"/>
          <w:lang w:val="en-US" w:eastAsia="zh-CN"/>
        </w:rPr>
        <w:t>1.</w:t>
      </w:r>
      <w:r>
        <w:rPr>
          <w:rFonts w:hint="eastAsia" w:ascii="仿宋_GB2312" w:hAnsi="仿宋_GB2312" w:eastAsia="仿宋_GB2312" w:cs="仿宋_GB2312"/>
          <w:b/>
          <w:bCs/>
          <w:color w:val="auto"/>
          <w:spacing w:val="6"/>
          <w:sz w:val="31"/>
          <w:szCs w:val="31"/>
        </w:rPr>
        <w:t>现场收集</w:t>
      </w:r>
      <w:r>
        <w:rPr>
          <w:rFonts w:hint="eastAsia" w:ascii="仿宋_GB2312" w:hAnsi="仿宋_GB2312" w:eastAsia="仿宋_GB2312" w:cs="仿宋_GB2312"/>
          <w:color w:val="auto"/>
          <w:spacing w:val="6"/>
          <w:sz w:val="31"/>
          <w:szCs w:val="31"/>
        </w:rPr>
        <w:t>：工地开工后，工程渣土、工程泥浆、工程垃圾和拆除垃圾均应分类堆放。所有工程必须做到封闭施工和降尘施工，建设主管部门和执法部门不定期到工地进行巡查。</w:t>
      </w:r>
    </w:p>
    <w:p w14:paraId="6465F0AA">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6" w:firstLineChars="200"/>
        <w:jc w:val="both"/>
        <w:textAlignment w:val="baseline"/>
        <w:rPr>
          <w:rFonts w:hint="eastAsia" w:ascii="仿宋_GB2312" w:hAnsi="仿宋_GB2312" w:eastAsia="仿宋_GB2312" w:cs="仿宋_GB2312"/>
          <w:color w:val="auto"/>
          <w:spacing w:val="6"/>
          <w:sz w:val="31"/>
          <w:szCs w:val="31"/>
          <w:lang w:eastAsia="zh-CN"/>
        </w:rPr>
      </w:pPr>
      <w:r>
        <w:rPr>
          <w:rFonts w:hint="eastAsia" w:ascii="仿宋_GB2312" w:hAnsi="仿宋_GB2312" w:eastAsia="仿宋_GB2312" w:cs="仿宋_GB2312"/>
          <w:b/>
          <w:bCs/>
          <w:color w:val="auto"/>
          <w:spacing w:val="6"/>
          <w:sz w:val="31"/>
          <w:szCs w:val="31"/>
          <w:lang w:val="en-US" w:eastAsia="zh-CN"/>
        </w:rPr>
        <w:t>2.运输阶段</w:t>
      </w:r>
      <w:r>
        <w:rPr>
          <w:rFonts w:hint="eastAsia" w:ascii="仿宋_GB2312" w:hAnsi="仿宋_GB2312" w:eastAsia="仿宋_GB2312" w:cs="仿宋_GB2312"/>
          <w:color w:val="auto"/>
          <w:spacing w:val="6"/>
          <w:sz w:val="31"/>
          <w:szCs w:val="31"/>
        </w:rPr>
        <w:t>：工程渣土、工程泥浆、工程垃圾和拆除垃圾产生后，由承运单位进场进行清运。建筑垃圾运输车辆的行驶路线和时间，由公安交管部门和执法部门确定。严厉查处超载超限、无证运输、带泥行驶、</w:t>
      </w:r>
      <w:r>
        <w:rPr>
          <w:rFonts w:hint="eastAsia" w:ascii="仿宋_GB2312" w:hAnsi="仿宋_GB2312" w:eastAsia="仿宋_GB2312" w:cs="仿宋_GB2312"/>
          <w:color w:val="auto"/>
          <w:spacing w:val="6"/>
          <w:sz w:val="31"/>
          <w:szCs w:val="31"/>
          <w:lang w:eastAsia="zh-CN"/>
        </w:rPr>
        <w:t>抛洒</w:t>
      </w:r>
      <w:r>
        <w:rPr>
          <w:rFonts w:hint="eastAsia" w:ascii="仿宋_GB2312" w:hAnsi="仿宋_GB2312" w:eastAsia="仿宋_GB2312" w:cs="仿宋_GB2312"/>
          <w:color w:val="auto"/>
          <w:spacing w:val="6"/>
          <w:sz w:val="31"/>
          <w:szCs w:val="31"/>
        </w:rPr>
        <w:t>滴漏等行为</w:t>
      </w:r>
      <w:r>
        <w:rPr>
          <w:rFonts w:hint="eastAsia" w:ascii="仿宋_GB2312" w:hAnsi="仿宋_GB2312" w:eastAsia="仿宋_GB2312" w:cs="仿宋_GB2312"/>
          <w:color w:val="auto"/>
          <w:spacing w:val="6"/>
          <w:sz w:val="31"/>
          <w:szCs w:val="31"/>
          <w:lang w:eastAsia="zh-CN"/>
        </w:rPr>
        <w:t>。</w:t>
      </w:r>
    </w:p>
    <w:p w14:paraId="2248A34D">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265" w:name="_Toc20161"/>
      <w:bookmarkStart w:id="266" w:name="_Toc17100"/>
      <w:bookmarkStart w:id="267" w:name="_Toc14118"/>
      <w:bookmarkStart w:id="268" w:name="_Toc27186"/>
      <w:r>
        <w:rPr>
          <w:rFonts w:hint="eastAsia" w:ascii="楷体_GB2312" w:hAnsi="楷体_GB2312" w:eastAsia="楷体_GB2312" w:cs="楷体_GB2312"/>
          <w:b/>
          <w:bCs/>
          <w:color w:val="auto"/>
          <w:spacing w:val="8"/>
          <w:sz w:val="32"/>
          <w:szCs w:val="32"/>
          <w:lang w:val="en-US" w:eastAsia="zh-CN"/>
        </w:rPr>
        <w:t>（二）装修垃圾</w:t>
      </w:r>
      <w:bookmarkEnd w:id="265"/>
      <w:bookmarkEnd w:id="266"/>
      <w:bookmarkEnd w:id="267"/>
      <w:bookmarkEnd w:id="268"/>
    </w:p>
    <w:p w14:paraId="4B547306">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6"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b/>
          <w:bCs/>
          <w:color w:val="auto"/>
          <w:spacing w:val="6"/>
          <w:sz w:val="31"/>
          <w:szCs w:val="31"/>
          <w:lang w:val="en-US" w:eastAsia="zh-CN"/>
        </w:rPr>
        <w:t>1.现场收集</w:t>
      </w:r>
      <w:r>
        <w:rPr>
          <w:rFonts w:hint="eastAsia" w:ascii="仿宋_GB2312" w:hAnsi="仿宋_GB2312" w:eastAsia="仿宋_GB2312" w:cs="仿宋_GB2312"/>
          <w:color w:val="auto"/>
          <w:spacing w:val="6"/>
          <w:sz w:val="31"/>
          <w:szCs w:val="31"/>
        </w:rPr>
        <w:t>：完善前端装修垃圾收集点设置，各</w:t>
      </w:r>
      <w:r>
        <w:rPr>
          <w:rFonts w:hint="eastAsia" w:ascii="仿宋_GB2312" w:hAnsi="仿宋_GB2312" w:eastAsia="仿宋_GB2312" w:cs="仿宋_GB2312"/>
          <w:color w:val="auto"/>
          <w:spacing w:val="6"/>
          <w:sz w:val="31"/>
          <w:szCs w:val="31"/>
          <w:lang w:val="en-US" w:eastAsia="zh-CN"/>
        </w:rPr>
        <w:t>乡镇（</w:t>
      </w:r>
      <w:r>
        <w:rPr>
          <w:rFonts w:hint="eastAsia" w:ascii="仿宋_GB2312" w:hAnsi="仿宋_GB2312" w:eastAsia="仿宋_GB2312" w:cs="仿宋_GB2312"/>
          <w:color w:val="auto"/>
          <w:spacing w:val="6"/>
          <w:sz w:val="31"/>
          <w:szCs w:val="31"/>
        </w:rPr>
        <w:t>街道</w:t>
      </w:r>
      <w:r>
        <w:rPr>
          <w:rFonts w:hint="eastAsia" w:ascii="仿宋_GB2312" w:hAnsi="仿宋_GB2312" w:eastAsia="仿宋_GB2312" w:cs="仿宋_GB2312"/>
          <w:color w:val="auto"/>
          <w:spacing w:val="6"/>
          <w:sz w:val="31"/>
          <w:szCs w:val="31"/>
          <w:lang w:val="en-US" w:eastAsia="zh-CN"/>
        </w:rPr>
        <w:t>）</w:t>
      </w:r>
      <w:r>
        <w:rPr>
          <w:rFonts w:hint="eastAsia" w:ascii="仿宋_GB2312" w:hAnsi="仿宋_GB2312" w:eastAsia="仿宋_GB2312" w:cs="仿宋_GB2312"/>
          <w:color w:val="auto"/>
          <w:spacing w:val="6"/>
          <w:sz w:val="31"/>
          <w:szCs w:val="31"/>
        </w:rPr>
        <w:t>设置相对集中的临时堆放点，用于老旧小区、公共区域等不具备设置临时堆放点的装修垃圾的集中堆放。新建居住小区，应在规划建设时同步配套设置若干场地作为装修垃圾收集点，并与小区一并投入使用；精装修成品住房应在工地施工场地内单独设置装修垃圾收集点；商场、企业内部划出区域作为装修垃圾临时堆放场地。</w:t>
      </w:r>
    </w:p>
    <w:p w14:paraId="70136F54">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6"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b/>
          <w:bCs/>
          <w:color w:val="auto"/>
          <w:spacing w:val="6"/>
          <w:sz w:val="31"/>
          <w:szCs w:val="31"/>
          <w:lang w:val="en-US" w:eastAsia="zh-CN"/>
        </w:rPr>
        <w:t>2.运输阶段</w:t>
      </w:r>
      <w:r>
        <w:rPr>
          <w:rFonts w:hint="eastAsia" w:ascii="仿宋_GB2312" w:hAnsi="仿宋_GB2312" w:eastAsia="仿宋_GB2312" w:cs="仿宋_GB2312"/>
          <w:color w:val="auto"/>
          <w:spacing w:val="6"/>
          <w:sz w:val="31"/>
          <w:szCs w:val="31"/>
        </w:rPr>
        <w:t>：产生单位或物业公司事先进行申请或委托，由运输企业在装修垃圾收集点进行收集，再运至建筑垃圾分选场进行临时堆放和分拣，并由具体分选企业运至各类处置场所。</w:t>
      </w:r>
    </w:p>
    <w:p w14:paraId="155A044C">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eastAsia" w:ascii="黑体" w:hAnsi="黑体" w:eastAsia="黑体" w:cs="黑体"/>
          <w:b w:val="0"/>
          <w:bCs w:val="0"/>
          <w:color w:val="auto"/>
          <w:spacing w:val="2"/>
          <w:sz w:val="31"/>
          <w:szCs w:val="31"/>
          <w:lang w:val="en-US" w:eastAsia="zh-CN"/>
        </w:rPr>
      </w:pPr>
      <w:bookmarkStart w:id="269" w:name="_Toc18641"/>
      <w:bookmarkStart w:id="270" w:name="_Toc27007"/>
      <w:bookmarkStart w:id="271" w:name="_Toc26537"/>
      <w:bookmarkStart w:id="272" w:name="_Toc30083"/>
      <w:r>
        <w:rPr>
          <w:rFonts w:hint="eastAsia" w:ascii="黑体" w:hAnsi="黑体" w:eastAsia="黑体" w:cs="黑体"/>
          <w:b w:val="0"/>
          <w:bCs w:val="0"/>
          <w:color w:val="auto"/>
          <w:spacing w:val="2"/>
          <w:sz w:val="31"/>
          <w:szCs w:val="31"/>
          <w:lang w:val="en-US" w:eastAsia="zh-CN"/>
        </w:rPr>
        <w:t>四、收运设施设备</w:t>
      </w:r>
      <w:bookmarkEnd w:id="269"/>
      <w:bookmarkEnd w:id="270"/>
      <w:bookmarkEnd w:id="271"/>
      <w:bookmarkEnd w:id="272"/>
    </w:p>
    <w:p w14:paraId="2AF41124">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273" w:name="_Toc15648"/>
      <w:bookmarkStart w:id="274" w:name="_Toc16554"/>
      <w:bookmarkStart w:id="275" w:name="_Toc28591"/>
      <w:bookmarkStart w:id="276" w:name="_Toc3674"/>
      <w:r>
        <w:rPr>
          <w:rFonts w:hint="eastAsia" w:ascii="楷体_GB2312" w:hAnsi="楷体_GB2312" w:eastAsia="楷体_GB2312" w:cs="楷体_GB2312"/>
          <w:b/>
          <w:bCs/>
          <w:color w:val="auto"/>
          <w:spacing w:val="8"/>
          <w:sz w:val="32"/>
          <w:szCs w:val="32"/>
          <w:lang w:val="en-US" w:eastAsia="zh-CN"/>
        </w:rPr>
        <w:t>（一）装修垃圾分类投放点</w:t>
      </w:r>
      <w:bookmarkEnd w:id="273"/>
      <w:bookmarkEnd w:id="274"/>
      <w:bookmarkEnd w:id="275"/>
      <w:bookmarkEnd w:id="276"/>
    </w:p>
    <w:p w14:paraId="4564FA35">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rPr>
        <w:t>装修垃圾分类投放点主要用于收集居民装饰、维修及拆除过程中产生的装修垃圾。每个小区、行政村（社区）原则上都应设置1处装修建筑垃圾分类投放点，新建居住小区应在规划建设时同步配套设置若干场地作为分类投放点，并与小区一并投入使用，可与生活垃圾收集点、大件垃圾收集点等设施合并设置；新建公用区域的分类投放点可在工地临时设置。居民将装修垃圾进行分类装袋捆扎后，堆放到指定的分类投放点，由居民或物业公司定期收运至转运站或资源化利用场进行处理。</w:t>
      </w:r>
    </w:p>
    <w:p w14:paraId="096C5354">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rPr>
        <w:t>参照《环境卫生设施设置标准》（CJJ27-2012）规定，装修垃圾收集点用地面积不宜小于80平方米，同时需对场地进行平整和硬化，配置上下水设施，装卸垃圾时应洒水降尘。无物业的居住区和门店，由属地主管部门设置相对集中的建筑垃圾转运调配场，可结合老城区的拆建改造或利用暂不使用地块设置。</w:t>
      </w:r>
    </w:p>
    <w:p w14:paraId="3B291F4F">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277" w:name="_Toc9546"/>
      <w:bookmarkStart w:id="278" w:name="_Toc25585"/>
      <w:bookmarkStart w:id="279" w:name="_Toc24829"/>
      <w:bookmarkStart w:id="280" w:name="_Toc5188"/>
      <w:r>
        <w:rPr>
          <w:rFonts w:hint="eastAsia" w:ascii="楷体_GB2312" w:hAnsi="楷体_GB2312" w:eastAsia="楷体_GB2312" w:cs="楷体_GB2312"/>
          <w:b/>
          <w:bCs/>
          <w:color w:val="auto"/>
          <w:spacing w:val="8"/>
          <w:sz w:val="32"/>
          <w:szCs w:val="32"/>
          <w:lang w:val="en-US" w:eastAsia="zh-CN"/>
        </w:rPr>
        <w:t>（二）收运车辆</w:t>
      </w:r>
      <w:bookmarkEnd w:id="277"/>
      <w:bookmarkEnd w:id="278"/>
      <w:bookmarkEnd w:id="279"/>
      <w:bookmarkEnd w:id="280"/>
    </w:p>
    <w:p w14:paraId="3373AFA5">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6" w:firstLineChars="200"/>
        <w:jc w:val="both"/>
        <w:textAlignment w:val="baseline"/>
        <w:outlineLvl w:val="2"/>
        <w:rPr>
          <w:rFonts w:hint="eastAsia" w:ascii="仿宋_GB2312" w:hAnsi="仿宋_GB2312" w:eastAsia="仿宋_GB2312" w:cs="仿宋_GB2312"/>
          <w:b/>
          <w:bCs/>
          <w:color w:val="auto"/>
          <w:spacing w:val="6"/>
          <w:sz w:val="31"/>
          <w:szCs w:val="31"/>
          <w:lang w:val="en-US" w:eastAsia="zh-CN"/>
        </w:rPr>
      </w:pPr>
      <w:r>
        <w:rPr>
          <w:rFonts w:hint="eastAsia" w:ascii="仿宋_GB2312" w:hAnsi="仿宋_GB2312" w:eastAsia="仿宋_GB2312" w:cs="仿宋_GB2312"/>
          <w:b/>
          <w:bCs/>
          <w:color w:val="auto"/>
          <w:spacing w:val="6"/>
          <w:sz w:val="31"/>
          <w:szCs w:val="31"/>
          <w:lang w:val="en-US" w:eastAsia="zh-CN"/>
        </w:rPr>
        <w:t>1.技术要求</w:t>
      </w:r>
    </w:p>
    <w:p w14:paraId="37F9D017">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rPr>
        <w:t>运输车辆，工程渣土、工程垃圾和拆除垃圾的运输采用大型密闭化运输</w:t>
      </w:r>
      <w:r>
        <w:rPr>
          <w:rFonts w:hint="eastAsia" w:ascii="仿宋_GB2312" w:hAnsi="仿宋_GB2312" w:eastAsia="仿宋_GB2312" w:cs="仿宋_GB2312"/>
          <w:color w:val="auto"/>
          <w:spacing w:val="6"/>
          <w:sz w:val="31"/>
          <w:szCs w:val="31"/>
          <w:lang w:eastAsia="zh-CN"/>
        </w:rPr>
        <w:t>车辆</w:t>
      </w:r>
      <w:r>
        <w:rPr>
          <w:rFonts w:hint="eastAsia" w:ascii="仿宋_GB2312" w:hAnsi="仿宋_GB2312" w:eastAsia="仿宋_GB2312" w:cs="仿宋_GB2312"/>
          <w:color w:val="auto"/>
          <w:spacing w:val="6"/>
          <w:sz w:val="31"/>
          <w:szCs w:val="31"/>
        </w:rPr>
        <w:t>，工程泥浆运输应采用密闭式罐车；装修垃圾从收集点至转运调配场或资源利用厂阶段采用小型密闭化运输车辆。收运单位的运输车辆应具有行驶证和营运证，并取得《建筑垃圾车辆运输许可》，建筑垃圾收运车辆应采用列入工业和信息化部《车辆生产企业及产品公告》内的产品车辆的特征应与产品公告、出厂合格证相符，应满足国家、行业对机动车安全、排放、噪声、油耗的相关法规及标准要求。</w:t>
      </w:r>
    </w:p>
    <w:p w14:paraId="1D90D536">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rPr>
        <w:t>车辆驾驶室顶部应设置标志性顶灯，灯箱应固定牢固，同一运输单位的运输车辆颜色宜统一。应根据自身情况统一车辆车身及车厢主体颜色；车辆后</w:t>
      </w:r>
      <w:r>
        <w:rPr>
          <w:rFonts w:hint="eastAsia" w:ascii="仿宋_GB2312" w:hAnsi="仿宋_GB2312" w:eastAsia="仿宋_GB2312" w:cs="仿宋_GB2312"/>
          <w:color w:val="auto"/>
          <w:spacing w:val="6"/>
          <w:sz w:val="31"/>
          <w:szCs w:val="31"/>
          <w:lang w:eastAsia="zh-CN"/>
        </w:rPr>
        <w:t>厢</w:t>
      </w:r>
      <w:r>
        <w:rPr>
          <w:rFonts w:hint="eastAsia" w:ascii="仿宋_GB2312" w:hAnsi="仿宋_GB2312" w:eastAsia="仿宋_GB2312" w:cs="仿宋_GB2312"/>
          <w:color w:val="auto"/>
          <w:spacing w:val="6"/>
          <w:sz w:val="31"/>
          <w:szCs w:val="31"/>
        </w:rPr>
        <w:t>板应使用反光材料喷涂牌号；驾驶室两侧车门应喷涂清运企业名称；</w:t>
      </w:r>
      <w:r>
        <w:rPr>
          <w:rFonts w:hint="eastAsia" w:ascii="仿宋_GB2312" w:hAnsi="仿宋_GB2312" w:eastAsia="仿宋_GB2312" w:cs="仿宋_GB2312"/>
          <w:color w:val="auto"/>
          <w:spacing w:val="6"/>
          <w:sz w:val="31"/>
          <w:szCs w:val="31"/>
          <w:lang w:eastAsia="zh-CN"/>
        </w:rPr>
        <w:t>车辆</w:t>
      </w:r>
      <w:r>
        <w:rPr>
          <w:rFonts w:hint="eastAsia" w:ascii="仿宋_GB2312" w:hAnsi="仿宋_GB2312" w:eastAsia="仿宋_GB2312" w:cs="仿宋_GB2312"/>
          <w:color w:val="auto"/>
          <w:spacing w:val="6"/>
          <w:sz w:val="31"/>
          <w:szCs w:val="31"/>
        </w:rPr>
        <w:t>侧身及后</w:t>
      </w:r>
      <w:r>
        <w:rPr>
          <w:rFonts w:hint="eastAsia" w:ascii="仿宋_GB2312" w:hAnsi="仿宋_GB2312" w:eastAsia="仿宋_GB2312" w:cs="仿宋_GB2312"/>
          <w:color w:val="auto"/>
          <w:spacing w:val="6"/>
          <w:sz w:val="31"/>
          <w:szCs w:val="31"/>
          <w:lang w:eastAsia="zh-CN"/>
        </w:rPr>
        <w:t>厢</w:t>
      </w:r>
      <w:r>
        <w:rPr>
          <w:rFonts w:hint="eastAsia" w:ascii="仿宋_GB2312" w:hAnsi="仿宋_GB2312" w:eastAsia="仿宋_GB2312" w:cs="仿宋_GB2312"/>
          <w:color w:val="auto"/>
          <w:spacing w:val="6"/>
          <w:sz w:val="31"/>
          <w:szCs w:val="31"/>
        </w:rPr>
        <w:t>板应喷涂监督举报电话且车身应设置一定数量的反光贴。</w:t>
      </w:r>
    </w:p>
    <w:p w14:paraId="1E2A54CD">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rPr>
        <w:t>新购置的建筑垃圾清运车辆应符合国家工业和信息化部相关技术要求，车厢顶部宜采用刚性密闭装置，且宜安装闭合限位传感器，并与车载终端连接，车厢主体不宜采用外表面易残留建筑垃圾的外露加强筋结构，车厢内表面平顺光滑，改装车辆车厢顶部宜采用纵向开闭柔性结构篷布覆盖密闭装置。</w:t>
      </w:r>
    </w:p>
    <w:p w14:paraId="34043CCA">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rPr>
        <w:t>建筑垃圾清运车辆应安装监控系统。监控系统由车载卫星定位系统和车载影像系统等组成，并应能接入建筑垃圾全过程信息化监管平台。监控系统可实时查询每台车辆的精确位置、运输时间、行驶速度、行驶路线等信息，且可设置电子围栏，进行线路控制；并可预设车速，实现车辆超速报警功能，实现精准管理。</w:t>
      </w:r>
    </w:p>
    <w:p w14:paraId="274DB702">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6" w:firstLineChars="200"/>
        <w:jc w:val="both"/>
        <w:textAlignment w:val="baseline"/>
        <w:outlineLvl w:val="2"/>
        <w:rPr>
          <w:rFonts w:hint="eastAsia" w:ascii="仿宋_GB2312" w:hAnsi="仿宋_GB2312" w:eastAsia="仿宋_GB2312" w:cs="仿宋_GB2312"/>
          <w:b/>
          <w:bCs/>
          <w:color w:val="auto"/>
          <w:spacing w:val="6"/>
          <w:sz w:val="31"/>
          <w:szCs w:val="31"/>
          <w:lang w:val="en-US" w:eastAsia="zh-CN"/>
        </w:rPr>
      </w:pPr>
      <w:r>
        <w:rPr>
          <w:rFonts w:hint="eastAsia" w:ascii="仿宋_GB2312" w:hAnsi="仿宋_GB2312" w:eastAsia="仿宋_GB2312" w:cs="仿宋_GB2312"/>
          <w:b/>
          <w:bCs/>
          <w:color w:val="auto"/>
          <w:spacing w:val="6"/>
          <w:sz w:val="31"/>
          <w:szCs w:val="31"/>
          <w:lang w:val="en-US" w:eastAsia="zh-CN"/>
        </w:rPr>
        <w:t>2.管理要求</w:t>
      </w:r>
    </w:p>
    <w:p w14:paraId="38067861">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rPr>
        <w:t>统一密闭改装。推动执行建设（拆迁）工地“两不进、两不出”制度，即“无备案登记手续的车辆不许进入施工工地，无密闭装置或密闭装置破损的车辆不许进入施工工地；超量装载的车辆不许驶出施工工地，遮挡污损号牌、车身不洁、车轮带泥的车辆不许驶出施工工地”。</w:t>
      </w:r>
    </w:p>
    <w:p w14:paraId="3D04CFEE">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rPr>
        <w:t>运输车辆须保持整洁、密闭装载，不得沿途泄漏、遗撒，不得超载运输，禁止车轮、车厢外侧带泥行驶；上路行驶的建筑垃圾运输车辆必须遵守道路交通法律法规；随车携带城市建筑垃圾转运证件，承运经批准排放的建筑垃圾；</w:t>
      </w:r>
    </w:p>
    <w:p w14:paraId="42B52B88">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rPr>
        <w:t>严格规范建筑垃圾收运车辆管理，推进建筑垃圾收集运输实行公司化、规模化、专业化运营管理，强化建筑垃圾收运单位按照城市管理部门规</w:t>
      </w:r>
      <w:r>
        <w:rPr>
          <w:rFonts w:hint="eastAsia" w:ascii="仿宋_GB2312" w:hAnsi="仿宋_GB2312" w:eastAsia="仿宋_GB2312" w:cs="仿宋_GB2312"/>
          <w:color w:val="auto"/>
          <w:spacing w:val="6"/>
          <w:sz w:val="31"/>
          <w:szCs w:val="31"/>
          <w:lang w:eastAsia="zh-CN"/>
        </w:rPr>
        <w:t>定的</w:t>
      </w:r>
      <w:r>
        <w:rPr>
          <w:rFonts w:hint="eastAsia" w:ascii="仿宋_GB2312" w:hAnsi="仿宋_GB2312" w:eastAsia="仿宋_GB2312" w:cs="仿宋_GB2312"/>
          <w:color w:val="auto"/>
          <w:spacing w:val="6"/>
          <w:sz w:val="31"/>
          <w:szCs w:val="31"/>
        </w:rPr>
        <w:t>运输路线、运行时间开展建筑垃圾收运工作，严格处罚丢弃、遗撒建筑垃圾以及超出核准范围承运建筑垃圾等行为。建筑垃圾清运单位应在清运时间内，自行或采取其他方式做好车辆沿途线路的污染清理、保洁工作；</w:t>
      </w:r>
    </w:p>
    <w:p w14:paraId="34069733">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rPr>
        <w:t>严格要求收集运输车辆安装定位和监控系统，实现与建筑垃圾信息共享平台和运输监控系统互联互通，推动信息共享和部门执法联动。建立收集运输车辆技术档案管理，并实行动态更新管理。建立多联单制度，记录完整的多单会签信息并存档。</w:t>
      </w:r>
    </w:p>
    <w:p w14:paraId="0259A5B2">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rPr>
        <w:t>严格管控个人或未经核准备案单位开展建筑垃圾运输，实行建筑垃圾运输企业和运输车辆核准备案登记资质，确保运输车辆必须达到“</w:t>
      </w:r>
      <w:r>
        <w:rPr>
          <w:rFonts w:hint="eastAsia" w:ascii="仿宋_GB2312" w:hAnsi="仿宋_GB2312" w:eastAsia="仿宋_GB2312" w:cs="仿宋_GB2312"/>
          <w:color w:val="auto"/>
          <w:spacing w:val="6"/>
          <w:sz w:val="31"/>
          <w:szCs w:val="31"/>
          <w:lang w:val="en-US" w:eastAsia="zh-CN"/>
        </w:rPr>
        <w:t>三</w:t>
      </w:r>
      <w:r>
        <w:rPr>
          <w:rFonts w:hint="eastAsia" w:ascii="仿宋_GB2312" w:hAnsi="仿宋_GB2312" w:eastAsia="仿宋_GB2312" w:cs="仿宋_GB2312"/>
          <w:color w:val="auto"/>
          <w:spacing w:val="6"/>
          <w:sz w:val="31"/>
          <w:szCs w:val="31"/>
        </w:rPr>
        <w:t>统一”标准，即统一安装顶灯、统一车辆标识、统一安装定位系统。</w:t>
      </w:r>
    </w:p>
    <w:p w14:paraId="431FAA06">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281" w:name="_Toc25306"/>
      <w:bookmarkStart w:id="282" w:name="_Toc25694"/>
      <w:bookmarkStart w:id="283" w:name="_Toc4366"/>
      <w:bookmarkStart w:id="284" w:name="_Toc23860"/>
      <w:r>
        <w:rPr>
          <w:rFonts w:hint="eastAsia" w:ascii="楷体_GB2312" w:hAnsi="楷体_GB2312" w:eastAsia="楷体_GB2312" w:cs="楷体_GB2312"/>
          <w:b/>
          <w:bCs/>
          <w:color w:val="auto"/>
          <w:spacing w:val="8"/>
          <w:sz w:val="32"/>
          <w:szCs w:val="32"/>
          <w:lang w:val="en-US" w:eastAsia="zh-CN"/>
        </w:rPr>
        <w:t>（三）</w:t>
      </w:r>
      <w:bookmarkEnd w:id="281"/>
      <w:bookmarkEnd w:id="282"/>
      <w:bookmarkEnd w:id="283"/>
      <w:bookmarkEnd w:id="284"/>
      <w:r>
        <w:rPr>
          <w:rFonts w:hint="eastAsia" w:ascii="楷体_GB2312" w:hAnsi="楷体_GB2312" w:eastAsia="楷体_GB2312" w:cs="楷体_GB2312"/>
          <w:b/>
          <w:bCs/>
          <w:color w:val="auto"/>
          <w:spacing w:val="8"/>
          <w:sz w:val="32"/>
          <w:szCs w:val="32"/>
          <w:lang w:val="en-US" w:eastAsia="zh-CN"/>
        </w:rPr>
        <w:t>建筑垃圾中转站</w:t>
      </w:r>
    </w:p>
    <w:p w14:paraId="08AA96C5">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rPr>
        <w:t>建筑垃圾中转站主要用于建筑垃圾（包括工程渣土）的集中、前端分拣，及暂时无法进行利用的建筑垃圾和运输距离远、需要中转的建筑垃圾的临时堆放。中转站场内设置分拣场地，将进场垃圾中可利用的物质粗拣出来进行分类堆放，有价值的物质进入废品回收体系，其他可资源化利用的建筑垃圾运输至建筑垃圾资源化利用厂，危险废弃物及有害垃圾进入危险废物处理设施。</w:t>
      </w:r>
    </w:p>
    <w:p w14:paraId="2DBA3C5B">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6" w:firstLineChars="200"/>
        <w:jc w:val="both"/>
        <w:textAlignment w:val="baseline"/>
        <w:outlineLvl w:val="2"/>
        <w:rPr>
          <w:rFonts w:hint="eastAsia" w:ascii="仿宋_GB2312" w:hAnsi="仿宋_GB2312" w:eastAsia="仿宋_GB2312" w:cs="仿宋_GB2312"/>
          <w:b/>
          <w:bCs/>
          <w:color w:val="auto"/>
          <w:spacing w:val="6"/>
          <w:sz w:val="31"/>
          <w:szCs w:val="31"/>
          <w:lang w:val="en-US" w:eastAsia="zh-CN"/>
        </w:rPr>
      </w:pPr>
      <w:r>
        <w:rPr>
          <w:rFonts w:hint="eastAsia" w:ascii="仿宋_GB2312" w:hAnsi="仿宋_GB2312" w:eastAsia="仿宋_GB2312" w:cs="仿宋_GB2312"/>
          <w:b/>
          <w:bCs/>
          <w:color w:val="auto"/>
          <w:spacing w:val="6"/>
          <w:sz w:val="31"/>
          <w:szCs w:val="31"/>
          <w:lang w:val="en-US" w:eastAsia="zh-CN"/>
        </w:rPr>
        <w:t>1.布局原则</w:t>
      </w:r>
    </w:p>
    <w:p w14:paraId="090D5B5F">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rPr>
        <w:t>统筹设置。应综合考虑</w:t>
      </w:r>
      <w:r>
        <w:rPr>
          <w:rFonts w:hint="eastAsia" w:ascii="仿宋_GB2312" w:hAnsi="仿宋_GB2312" w:eastAsia="仿宋_GB2312" w:cs="仿宋_GB2312"/>
          <w:color w:val="auto"/>
          <w:spacing w:val="6"/>
          <w:sz w:val="31"/>
          <w:szCs w:val="31"/>
          <w:lang w:val="en-US" w:eastAsia="zh-CN"/>
        </w:rPr>
        <w:t>街道、</w:t>
      </w:r>
      <w:r>
        <w:rPr>
          <w:rFonts w:hint="eastAsia" w:ascii="仿宋_GB2312" w:hAnsi="仿宋_GB2312" w:eastAsia="仿宋_GB2312" w:cs="仿宋_GB2312"/>
          <w:color w:val="auto"/>
          <w:spacing w:val="6"/>
          <w:sz w:val="31"/>
          <w:szCs w:val="31"/>
        </w:rPr>
        <w:t>乡镇及周边区域建筑垃圾产生量、收（转）运能力及运距、处置方式、环境影响、群众意愿等因素，科学选点，按“服务半径适配、覆盖区域均衡”原则确定场地规模与数量，力求设置数量与建设实际需要基本匹配，与本区域国土空间总体规划及乡镇详细规划协调衔接，做好场地出入口与乡村主干道、市政设施的衔接。</w:t>
      </w:r>
    </w:p>
    <w:p w14:paraId="7E1443B2">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rPr>
        <w:t>严格控制。严格遵守国家、</w:t>
      </w:r>
      <w:r>
        <w:rPr>
          <w:rFonts w:hint="eastAsia" w:ascii="仿宋_GB2312" w:hAnsi="仿宋_GB2312" w:eastAsia="仿宋_GB2312" w:cs="仿宋_GB2312"/>
          <w:color w:val="auto"/>
          <w:spacing w:val="6"/>
          <w:sz w:val="31"/>
          <w:szCs w:val="31"/>
          <w:lang w:val="en-US" w:eastAsia="zh-CN"/>
        </w:rPr>
        <w:t>甘肃省</w:t>
      </w:r>
      <w:r>
        <w:rPr>
          <w:rFonts w:hint="eastAsia" w:ascii="仿宋_GB2312" w:hAnsi="仿宋_GB2312" w:eastAsia="仿宋_GB2312" w:cs="仿宋_GB2312"/>
          <w:color w:val="auto"/>
          <w:spacing w:val="6"/>
          <w:sz w:val="31"/>
          <w:szCs w:val="31"/>
        </w:rPr>
        <w:t>、</w:t>
      </w:r>
      <w:r>
        <w:rPr>
          <w:rFonts w:hint="eastAsia" w:ascii="仿宋_GB2312" w:hAnsi="仿宋_GB2312" w:eastAsia="仿宋_GB2312" w:cs="仿宋_GB2312"/>
          <w:color w:val="auto"/>
          <w:spacing w:val="6"/>
          <w:sz w:val="31"/>
          <w:szCs w:val="31"/>
          <w:lang w:val="en-US" w:eastAsia="zh-CN"/>
        </w:rPr>
        <w:t>张掖</w:t>
      </w:r>
      <w:r>
        <w:rPr>
          <w:rFonts w:hint="eastAsia" w:ascii="仿宋_GB2312" w:hAnsi="仿宋_GB2312" w:eastAsia="仿宋_GB2312" w:cs="仿宋_GB2312"/>
          <w:color w:val="auto"/>
          <w:spacing w:val="6"/>
          <w:sz w:val="31"/>
          <w:szCs w:val="31"/>
        </w:rPr>
        <w:t>市有关法律法规、政策文件等相关规定，按规定要求开展报批管理，经审核、批准后方可设置。</w:t>
      </w:r>
    </w:p>
    <w:p w14:paraId="78C9C74D">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rPr>
        <w:t>安全运行。遵循“安全第一”原则，严格按照</w:t>
      </w:r>
      <w:r>
        <w:rPr>
          <w:rFonts w:hint="eastAsia" w:ascii="仿宋_GB2312" w:hAnsi="仿宋_GB2312" w:eastAsia="仿宋_GB2312" w:cs="仿宋_GB2312"/>
          <w:color w:val="auto"/>
          <w:spacing w:val="6"/>
          <w:sz w:val="31"/>
          <w:szCs w:val="31"/>
          <w:lang w:eastAsia="zh-CN"/>
        </w:rPr>
        <w:t>法律法规</w:t>
      </w:r>
      <w:r>
        <w:rPr>
          <w:rFonts w:hint="eastAsia" w:ascii="仿宋_GB2312" w:hAnsi="仿宋_GB2312" w:eastAsia="仿宋_GB2312" w:cs="仿宋_GB2312"/>
          <w:color w:val="auto"/>
          <w:spacing w:val="6"/>
          <w:sz w:val="31"/>
          <w:szCs w:val="31"/>
        </w:rPr>
        <w:t>、规定的安全管理要求。建设运行主体单位必须制定安全、环保事故处置预案，明确现场管理安全环保责任，落实场所安全环保管理措施，常态化组织安全环保隐患排查及整改，严防发生安全生产事故和环境污染。</w:t>
      </w:r>
    </w:p>
    <w:p w14:paraId="2915A22A">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6" w:firstLineChars="200"/>
        <w:jc w:val="both"/>
        <w:textAlignment w:val="baseline"/>
        <w:outlineLvl w:val="2"/>
        <w:rPr>
          <w:rFonts w:hint="eastAsia" w:ascii="仿宋_GB2312" w:hAnsi="仿宋_GB2312" w:eastAsia="仿宋_GB2312" w:cs="仿宋_GB2312"/>
          <w:b/>
          <w:bCs/>
          <w:color w:val="auto"/>
          <w:spacing w:val="6"/>
          <w:sz w:val="31"/>
          <w:szCs w:val="31"/>
          <w:lang w:val="en-US" w:eastAsia="zh-CN"/>
        </w:rPr>
      </w:pPr>
      <w:r>
        <w:rPr>
          <w:rFonts w:hint="eastAsia" w:ascii="仿宋_GB2312" w:hAnsi="仿宋_GB2312" w:eastAsia="仿宋_GB2312" w:cs="仿宋_GB2312"/>
          <w:b/>
          <w:bCs/>
          <w:color w:val="auto"/>
          <w:spacing w:val="6"/>
          <w:sz w:val="31"/>
          <w:szCs w:val="31"/>
          <w:lang w:val="en-US" w:eastAsia="zh-CN"/>
        </w:rPr>
        <w:t>2.建设标准</w:t>
      </w:r>
    </w:p>
    <w:p w14:paraId="45C11C81">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rPr>
        <w:t>应符合法律法规、标准规范等要求，满足住房建设、自然资源、生态环境、行政执法等部门的有关规定，按照张掖市国土空间规划要求，不占用生态保护红线、永久基本农田，尽量少占用耕地。建筑垃圾</w:t>
      </w:r>
      <w:r>
        <w:rPr>
          <w:rFonts w:hint="eastAsia" w:ascii="仿宋_GB2312" w:hAnsi="仿宋_GB2312" w:eastAsia="仿宋_GB2312" w:cs="仿宋_GB2312"/>
          <w:color w:val="auto"/>
          <w:spacing w:val="6"/>
          <w:sz w:val="31"/>
          <w:szCs w:val="31"/>
          <w:lang w:val="en-US" w:eastAsia="zh-CN"/>
        </w:rPr>
        <w:t>中转站</w:t>
      </w:r>
      <w:r>
        <w:rPr>
          <w:rFonts w:hint="eastAsia" w:ascii="仿宋_GB2312" w:hAnsi="仿宋_GB2312" w:eastAsia="仿宋_GB2312" w:cs="仿宋_GB2312"/>
          <w:color w:val="auto"/>
          <w:spacing w:val="6"/>
          <w:sz w:val="31"/>
          <w:szCs w:val="31"/>
        </w:rPr>
        <w:t>可以在符合相关标准的情况下，可结合原有城市生活垃圾中转站扩建。</w:t>
      </w:r>
    </w:p>
    <w:p w14:paraId="713726FD">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rPr>
        <w:t>具有健全的环境卫生、安全管理、建筑垃圾消纳台账、行政管理等制度，符合建筑垃圾</w:t>
      </w:r>
      <w:r>
        <w:rPr>
          <w:rFonts w:hint="eastAsia" w:ascii="仿宋_GB2312" w:hAnsi="仿宋_GB2312" w:eastAsia="仿宋_GB2312" w:cs="仿宋_GB2312"/>
          <w:color w:val="auto"/>
          <w:spacing w:val="6"/>
          <w:sz w:val="31"/>
          <w:szCs w:val="31"/>
          <w:lang w:val="en-US" w:eastAsia="zh-CN"/>
        </w:rPr>
        <w:t>中转站</w:t>
      </w:r>
      <w:r>
        <w:rPr>
          <w:rFonts w:hint="eastAsia" w:ascii="仿宋_GB2312" w:hAnsi="仿宋_GB2312" w:eastAsia="仿宋_GB2312" w:cs="仿宋_GB2312"/>
          <w:color w:val="auto"/>
          <w:spacing w:val="6"/>
          <w:sz w:val="31"/>
          <w:szCs w:val="31"/>
        </w:rPr>
        <w:t>管理要求。选址不受洪水、潮水、内涝与地震的威胁，应有可靠的防洪排涝措施，防洪标准应符合现行国家防洪标准，场地标高高于周边地面3m，垃圾堆放高度不超过3m。</w:t>
      </w:r>
    </w:p>
    <w:p w14:paraId="30C5A261">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rPr>
        <w:t>在建筑垃圾</w:t>
      </w:r>
      <w:r>
        <w:rPr>
          <w:rFonts w:hint="eastAsia" w:ascii="仿宋_GB2312" w:hAnsi="仿宋_GB2312" w:eastAsia="仿宋_GB2312" w:cs="仿宋_GB2312"/>
          <w:color w:val="auto"/>
          <w:spacing w:val="6"/>
          <w:sz w:val="31"/>
          <w:szCs w:val="31"/>
          <w:lang w:val="en-US" w:eastAsia="zh-CN"/>
        </w:rPr>
        <w:t>中转站</w:t>
      </w:r>
      <w:r>
        <w:rPr>
          <w:rFonts w:hint="eastAsia" w:ascii="仿宋_GB2312" w:hAnsi="仿宋_GB2312" w:eastAsia="仿宋_GB2312" w:cs="仿宋_GB2312"/>
          <w:color w:val="auto"/>
          <w:spacing w:val="6"/>
          <w:sz w:val="31"/>
          <w:szCs w:val="31"/>
        </w:rPr>
        <w:t>出入口及堆放点应安装符合规定要求与</w:t>
      </w:r>
      <w:r>
        <w:rPr>
          <w:rFonts w:hint="eastAsia" w:ascii="仿宋_GB2312" w:hAnsi="仿宋_GB2312" w:eastAsia="仿宋_GB2312" w:cs="仿宋_GB2312"/>
          <w:color w:val="auto"/>
          <w:spacing w:val="6"/>
          <w:sz w:val="31"/>
          <w:szCs w:val="31"/>
          <w:lang w:eastAsia="zh-CN"/>
        </w:rPr>
        <w:t>监控系统</w:t>
      </w:r>
      <w:r>
        <w:rPr>
          <w:rFonts w:hint="eastAsia" w:ascii="仿宋_GB2312" w:hAnsi="仿宋_GB2312" w:eastAsia="仿宋_GB2312" w:cs="仿宋_GB2312"/>
          <w:color w:val="auto"/>
          <w:spacing w:val="6"/>
          <w:sz w:val="31"/>
          <w:szCs w:val="31"/>
        </w:rPr>
        <w:t>相配套的科技监控设备，能实时传输相关信息数据应具有符合规定的围墙（栏）设施，出入口道路经硬化处理，配有洒水等防尘设施。</w:t>
      </w:r>
    </w:p>
    <w:p w14:paraId="427D4F72">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rPr>
        <w:t>接纳的建筑垃圾应分类堆放、规范处置，对进场的消纳车辆有专人进行指挥，应设置分类分拣场地，并设立标识牌。</w:t>
      </w:r>
    </w:p>
    <w:p w14:paraId="1FAAC6D7">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rPr>
        <w:t>临时用地区块仅用于收集存放，不得涉及处置利用。存放物品不得涉及有毒、有害及危险品。</w:t>
      </w:r>
    </w:p>
    <w:p w14:paraId="24F06FCE">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rPr>
        <w:t>分拣点应及时清运处置装修垃圾，不得长期堆放，不得混入生活垃圾、危险固体废弃物等其他垃圾，并做好建筑垃圾出入场地的处置台账。</w:t>
      </w:r>
    </w:p>
    <w:p w14:paraId="0A5F7898">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1"/>
          <w:szCs w:val="31"/>
        </w:rPr>
        <w:t>具有建筑垃圾</w:t>
      </w:r>
      <w:r>
        <w:rPr>
          <w:rFonts w:hint="eastAsia" w:ascii="仿宋_GB2312" w:hAnsi="仿宋_GB2312" w:eastAsia="仿宋_GB2312" w:cs="仿宋_GB2312"/>
          <w:color w:val="auto"/>
          <w:spacing w:val="6"/>
          <w:sz w:val="31"/>
          <w:szCs w:val="31"/>
          <w:lang w:val="en-US" w:eastAsia="zh-CN"/>
        </w:rPr>
        <w:t>中转站</w:t>
      </w:r>
      <w:r>
        <w:rPr>
          <w:rFonts w:hint="eastAsia" w:ascii="仿宋_GB2312" w:hAnsi="仿宋_GB2312" w:eastAsia="仿宋_GB2312" w:cs="仿宋_GB2312"/>
          <w:color w:val="auto"/>
          <w:spacing w:val="6"/>
          <w:sz w:val="31"/>
          <w:szCs w:val="31"/>
        </w:rPr>
        <w:t>土地的用途证明和土地租赁协议、建筑垃圾</w:t>
      </w:r>
      <w:r>
        <w:rPr>
          <w:rFonts w:hint="eastAsia" w:ascii="仿宋_GB2312" w:hAnsi="仿宋_GB2312" w:eastAsia="仿宋_GB2312" w:cs="仿宋_GB2312"/>
          <w:color w:val="auto"/>
          <w:spacing w:val="6"/>
          <w:sz w:val="31"/>
          <w:szCs w:val="31"/>
          <w:lang w:val="en-US" w:eastAsia="zh-CN"/>
        </w:rPr>
        <w:t>中转站</w:t>
      </w:r>
      <w:r>
        <w:rPr>
          <w:rFonts w:hint="eastAsia" w:ascii="仿宋_GB2312" w:hAnsi="仿宋_GB2312" w:eastAsia="仿宋_GB2312" w:cs="仿宋_GB2312"/>
          <w:color w:val="auto"/>
          <w:spacing w:val="6"/>
          <w:sz w:val="31"/>
          <w:szCs w:val="31"/>
        </w:rPr>
        <w:t>平面图、进场路线图、监控服务协议。</w:t>
      </w:r>
    </w:p>
    <w:p w14:paraId="5205A019">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6" w:firstLineChars="200"/>
        <w:jc w:val="both"/>
        <w:textAlignment w:val="baseline"/>
        <w:outlineLvl w:val="2"/>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b/>
          <w:bCs/>
          <w:color w:val="auto"/>
          <w:spacing w:val="6"/>
          <w:sz w:val="31"/>
          <w:szCs w:val="31"/>
          <w:lang w:val="en-US" w:eastAsia="zh-CN"/>
        </w:rPr>
        <w:t>3.布局规划</w:t>
      </w:r>
    </w:p>
    <w:p w14:paraId="26168F35">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highlight w:val="none"/>
        </w:rPr>
      </w:pPr>
      <w:r>
        <w:rPr>
          <w:rFonts w:hint="eastAsia" w:ascii="仿宋_GB2312" w:hAnsi="仿宋_GB2312" w:eastAsia="仿宋_GB2312" w:cs="仿宋_GB2312"/>
          <w:color w:val="auto"/>
          <w:spacing w:val="6"/>
          <w:sz w:val="32"/>
          <w:szCs w:val="32"/>
          <w:highlight w:val="none"/>
        </w:rPr>
        <w:t>规划通过现状调研分析区域建设活动规模、既有建筑垃圾产生与处置格局，测算出规划期内建筑垃圾总产生量将增长，现有转运能力已无法满足未来需求，</w:t>
      </w:r>
      <w:r>
        <w:rPr>
          <w:rFonts w:hint="eastAsia" w:ascii="仿宋_GB2312" w:hAnsi="仿宋_GB2312" w:eastAsia="仿宋_GB2312" w:cs="仿宋_GB2312"/>
          <w:color w:val="auto"/>
          <w:spacing w:val="6"/>
          <w:sz w:val="32"/>
          <w:szCs w:val="32"/>
          <w:highlight w:val="none"/>
          <w:lang w:eastAsia="zh-CN"/>
        </w:rPr>
        <w:t>亟须完善</w:t>
      </w:r>
      <w:r>
        <w:rPr>
          <w:rFonts w:hint="eastAsia" w:ascii="仿宋_GB2312" w:hAnsi="仿宋_GB2312" w:eastAsia="仿宋_GB2312" w:cs="仿宋_GB2312"/>
          <w:color w:val="auto"/>
          <w:spacing w:val="6"/>
          <w:sz w:val="32"/>
          <w:szCs w:val="32"/>
          <w:highlight w:val="none"/>
        </w:rPr>
        <w:t>中转站布局以填补处置缺口。结合乡镇建设实际，本次规划在偏远乡镇共设置4处建筑垃圾中转站，分别服务周边</w:t>
      </w:r>
      <w:r>
        <w:rPr>
          <w:rFonts w:hint="eastAsia" w:ascii="仿宋_GB2312" w:hAnsi="仿宋_GB2312" w:eastAsia="仿宋_GB2312" w:cs="仿宋_GB2312"/>
          <w:color w:val="auto"/>
          <w:spacing w:val="6"/>
          <w:sz w:val="32"/>
          <w:szCs w:val="32"/>
          <w:highlight w:val="none"/>
          <w:lang w:val="en-US" w:eastAsia="zh-CN"/>
        </w:rPr>
        <w:t>1—</w:t>
      </w:r>
      <w:r>
        <w:rPr>
          <w:rFonts w:hint="eastAsia" w:ascii="仿宋_GB2312" w:hAnsi="仿宋_GB2312" w:eastAsia="仿宋_GB2312" w:cs="仿宋_GB2312"/>
          <w:color w:val="auto"/>
          <w:spacing w:val="6"/>
          <w:sz w:val="32"/>
          <w:szCs w:val="32"/>
          <w:highlight w:val="none"/>
        </w:rPr>
        <w:t>3个行政村，实现偏远区域建筑垃圾就近中转、高效处置。</w:t>
      </w:r>
    </w:p>
    <w:p w14:paraId="3F895C2A">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highlight w:val="none"/>
        </w:rPr>
      </w:pPr>
      <w:r>
        <w:rPr>
          <w:rFonts w:hint="eastAsia" w:ascii="仿宋_GB2312" w:hAnsi="仿宋_GB2312" w:eastAsia="仿宋_GB2312" w:cs="仿宋_GB2312"/>
          <w:color w:val="auto"/>
          <w:spacing w:val="6"/>
          <w:sz w:val="32"/>
          <w:szCs w:val="32"/>
          <w:highlight w:val="none"/>
        </w:rPr>
        <w:t>当前布局规划面临核心矛盾：一方面，区域内偷倾偷倒建筑垃圾的现象较为突出，根源在于部分偏远乡镇距离现有建筑垃圾消纳场路途遥远，运输成本极高，导致相关单位及个人前往合规消纳场处置垃圾的意愿低、可行性差</w:t>
      </w:r>
      <w:r>
        <w:rPr>
          <w:rFonts w:hint="eastAsia" w:ascii="仿宋_GB2312" w:hAnsi="仿宋_GB2312" w:eastAsia="仿宋_GB2312" w:cs="仿宋_GB2312"/>
          <w:color w:val="auto"/>
          <w:spacing w:val="6"/>
          <w:sz w:val="32"/>
          <w:szCs w:val="32"/>
          <w:highlight w:val="none"/>
          <w:lang w:eastAsia="zh-CN"/>
        </w:rPr>
        <w:t>；</w:t>
      </w:r>
      <w:r>
        <w:rPr>
          <w:rFonts w:hint="eastAsia" w:ascii="仿宋_GB2312" w:hAnsi="仿宋_GB2312" w:eastAsia="仿宋_GB2312" w:cs="仿宋_GB2312"/>
          <w:color w:val="auto"/>
          <w:spacing w:val="6"/>
          <w:sz w:val="32"/>
          <w:szCs w:val="32"/>
          <w:highlight w:val="none"/>
        </w:rPr>
        <w:t>另一方面，受限于乡镇土地资源现状，部分区域暂未找到可用于新建场地的闲置土地，且《张掖市国土空间总体规划（2021—2035年）》等上位规划中，针对偏远乡镇建筑垃圾中转站的建设用地规划不足，导致新增场地的选址与落地存在现实障碍，形成供需错配的困境。为缓解当前矛盾，暂按“优化现有、补齐空白、预留未来”的思路推进布局工作。</w:t>
      </w:r>
    </w:p>
    <w:p w14:paraId="25CFBD02">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highlight w:val="none"/>
        </w:rPr>
      </w:pPr>
      <w:r>
        <w:rPr>
          <w:rFonts w:hint="eastAsia" w:ascii="仿宋_GB2312" w:hAnsi="仿宋_GB2312" w:eastAsia="仿宋_GB2312" w:cs="仿宋_GB2312"/>
          <w:color w:val="auto"/>
          <w:spacing w:val="6"/>
          <w:sz w:val="32"/>
          <w:szCs w:val="32"/>
          <w:highlight w:val="none"/>
        </w:rPr>
        <w:t>优先对现有乡镇垃圾中转设施进行功能升级，通过划分工程渣土区、废弃混凝土区、装修垃圾分类堆放区，新增移动式破碎设备、密闭转运车等设施，提升现有场地的中转效率与分类处理能力；针对4处新建偏远乡镇中转站，重点强化基础功能与实用属性，确保快速落地投用。同步向相关部门提出用地需求建议，推动将偏远乡镇建筑垃圾中转站建设用地纳入后续上位规划调整范畴，为未来设施扩容预留空间，逐步解决供需矛盾。</w:t>
      </w:r>
    </w:p>
    <w:p w14:paraId="5567434F">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highlight w:val="none"/>
        </w:rPr>
      </w:pPr>
      <w:r>
        <w:rPr>
          <w:rFonts w:hint="eastAsia" w:ascii="仿宋_GB2312" w:hAnsi="仿宋_GB2312" w:eastAsia="仿宋_GB2312" w:cs="仿宋_GB2312"/>
          <w:color w:val="auto"/>
          <w:spacing w:val="6"/>
          <w:sz w:val="32"/>
          <w:szCs w:val="32"/>
          <w:highlight w:val="none"/>
        </w:rPr>
        <w:t>4处偏远乡镇建筑垃圾中转站需同步建设适配乡镇场景的环保配套设施，近期实现“实用高效、经济适配”的建设目标，具体“三必配”要求如下：一是每处站配备</w:t>
      </w:r>
      <w:r>
        <w:rPr>
          <w:rFonts w:hint="eastAsia" w:ascii="仿宋_GB2312" w:hAnsi="仿宋_GB2312" w:eastAsia="仿宋_GB2312" w:cs="仿宋_GB2312"/>
          <w:color w:val="auto"/>
          <w:spacing w:val="6"/>
          <w:sz w:val="32"/>
          <w:szCs w:val="32"/>
          <w:highlight w:val="none"/>
          <w:lang w:val="en-US" w:eastAsia="zh-CN"/>
        </w:rPr>
        <w:t>1</w:t>
      </w:r>
      <w:r>
        <w:rPr>
          <w:rFonts w:hint="eastAsia" w:ascii="仿宋_GB2312" w:hAnsi="仿宋_GB2312" w:eastAsia="仿宋_GB2312" w:cs="仿宋_GB2312"/>
          <w:color w:val="auto"/>
          <w:spacing w:val="6"/>
          <w:sz w:val="32"/>
          <w:szCs w:val="32"/>
          <w:highlight w:val="none"/>
        </w:rPr>
        <w:t>套高压喷淋系统（覆盖分拣区及堆放区核心范围）、3000平方米防风抑尘网，结合乡镇主导风向优化布设，有效抑制扬尘污染；二是建设小型渗滤液收集池（配套1套小型一体化处理设备，处理能力3吨/日），避免污水渗入土壤污染农田；三是设置</w:t>
      </w:r>
      <w:r>
        <w:rPr>
          <w:rFonts w:hint="eastAsia" w:ascii="仿宋_GB2312" w:hAnsi="仿宋_GB2312" w:eastAsia="仿宋_GB2312" w:cs="仿宋_GB2312"/>
          <w:color w:val="auto"/>
          <w:spacing w:val="6"/>
          <w:sz w:val="32"/>
          <w:szCs w:val="32"/>
          <w:highlight w:val="none"/>
          <w:lang w:val="en-US" w:eastAsia="zh-CN"/>
        </w:rPr>
        <w:t>1</w:t>
      </w:r>
      <w:r>
        <w:rPr>
          <w:rFonts w:hint="eastAsia" w:ascii="仿宋_GB2312" w:hAnsi="仿宋_GB2312" w:eastAsia="仿宋_GB2312" w:cs="仿宋_GB2312"/>
          <w:color w:val="auto"/>
          <w:spacing w:val="6"/>
          <w:sz w:val="32"/>
          <w:szCs w:val="32"/>
          <w:highlight w:val="none"/>
        </w:rPr>
        <w:t>个噪声监测点，确保噪声排放符合《工业企业厂界环境噪声排放标准》（GB12348）中乡村声环境功能区要求。</w:t>
      </w:r>
    </w:p>
    <w:p w14:paraId="296647C2">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1"/>
          <w:szCs w:val="31"/>
        </w:rPr>
      </w:pPr>
      <w:r>
        <w:rPr>
          <w:rFonts w:hint="eastAsia" w:ascii="仿宋_GB2312" w:hAnsi="仿宋_GB2312" w:eastAsia="仿宋_GB2312" w:cs="仿宋_GB2312"/>
          <w:color w:val="auto"/>
          <w:spacing w:val="6"/>
          <w:sz w:val="32"/>
          <w:szCs w:val="32"/>
          <w:highlight w:val="none"/>
        </w:rPr>
        <w:t>调度配套设施方面，近期4处乡镇中转站全部接入甘州区</w:t>
      </w:r>
      <w:r>
        <w:rPr>
          <w:rFonts w:hint="eastAsia" w:ascii="仿宋_GB2312" w:hAnsi="仿宋_GB2312" w:eastAsia="仿宋_GB2312" w:cs="仿宋_GB2312"/>
          <w:color w:val="auto"/>
          <w:spacing w:val="6"/>
          <w:sz w:val="32"/>
          <w:szCs w:val="32"/>
          <w:highlight w:val="none"/>
          <w:lang w:val="en-US" w:eastAsia="zh-CN"/>
        </w:rPr>
        <w:t>城市</w:t>
      </w:r>
      <w:r>
        <w:rPr>
          <w:rFonts w:hint="eastAsia" w:ascii="仿宋_GB2312" w:hAnsi="仿宋_GB2312" w:eastAsia="仿宋_GB2312" w:cs="仿宋_GB2312"/>
          <w:color w:val="auto"/>
          <w:spacing w:val="6"/>
          <w:sz w:val="32"/>
          <w:szCs w:val="32"/>
          <w:highlight w:val="none"/>
        </w:rPr>
        <w:t>智慧</w:t>
      </w:r>
      <w:r>
        <w:rPr>
          <w:rFonts w:hint="eastAsia" w:ascii="仿宋_GB2312" w:hAnsi="仿宋_GB2312" w:eastAsia="仿宋_GB2312" w:cs="仿宋_GB2312"/>
          <w:color w:val="auto"/>
          <w:spacing w:val="6"/>
          <w:sz w:val="32"/>
          <w:szCs w:val="32"/>
          <w:highlight w:val="none"/>
          <w:lang w:val="en-US" w:eastAsia="zh-CN"/>
        </w:rPr>
        <w:t>管理</w:t>
      </w:r>
      <w:r>
        <w:rPr>
          <w:rFonts w:hint="eastAsia" w:ascii="仿宋_GB2312" w:hAnsi="仿宋_GB2312" w:eastAsia="仿宋_GB2312" w:cs="仿宋_GB2312"/>
          <w:color w:val="auto"/>
          <w:spacing w:val="6"/>
          <w:sz w:val="32"/>
          <w:szCs w:val="32"/>
          <w:highlight w:val="none"/>
        </w:rPr>
        <w:t>平台，每处配备2路高清视频监控（分别覆盖进出口及分拣区）及1台小型地磅（精度±0.2吨），实现基础信息化管理；远期结合乡镇发展需求，为规模较大的中转站加装PM2.5监测设备1台，增设无人值守闸机（1进1出），结合GPS轨迹追踪功能优化转运车辆路线规划，减少空驶率，实现偏远乡镇建筑垃圾高效中转。</w:t>
      </w:r>
      <w:r>
        <w:rPr>
          <w:rFonts w:hint="eastAsia" w:ascii="仿宋_GB2312" w:hAnsi="仿宋_GB2312" w:eastAsia="仿宋_GB2312" w:cs="仿宋_GB2312"/>
          <w:color w:val="auto"/>
          <w:spacing w:val="6"/>
          <w:sz w:val="31"/>
          <w:szCs w:val="31"/>
        </w:rPr>
        <w:t>​</w:t>
      </w:r>
    </w:p>
    <w:p w14:paraId="1C69ABB0">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黑体" w:hAnsi="黑体" w:eastAsia="黑体" w:cs="黑体"/>
          <w:color w:val="auto"/>
          <w:spacing w:val="6"/>
          <w:sz w:val="31"/>
          <w:szCs w:val="31"/>
        </w:rPr>
        <w:sectPr>
          <w:headerReference r:id="rId11" w:type="default"/>
          <w:pgSz w:w="23811" w:h="16838" w:orient="landscape"/>
          <w:pgMar w:top="1800" w:right="1440" w:bottom="1800" w:left="1440" w:header="851" w:footer="992" w:gutter="0"/>
          <w:pgNumType w:fmt="numberInDash"/>
          <w:cols w:space="2106" w:num="2"/>
          <w:docGrid w:type="lines" w:linePitch="312" w:charSpace="0"/>
        </w:sectPr>
      </w:pPr>
    </w:p>
    <w:p w14:paraId="16FF1671">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313" w:afterLines="100" w:line="560" w:lineRule="exact"/>
        <w:ind w:right="0" w:rightChars="0"/>
        <w:jc w:val="center"/>
        <w:textAlignment w:val="baseline"/>
        <w:outlineLvl w:val="0"/>
        <w:rPr>
          <w:rFonts w:hint="eastAsia" w:ascii="黑体" w:hAnsi="黑体" w:eastAsia="黑体" w:cs="黑体"/>
          <w:color w:val="auto"/>
          <w:spacing w:val="7"/>
          <w:sz w:val="44"/>
          <w:szCs w:val="44"/>
          <w:lang w:val="en-US" w:eastAsia="zh-CN"/>
        </w:rPr>
      </w:pPr>
      <w:bookmarkStart w:id="285" w:name="_Toc27819"/>
      <w:bookmarkStart w:id="286" w:name="_Toc2557"/>
      <w:bookmarkStart w:id="287" w:name="_Toc20563"/>
      <w:bookmarkStart w:id="288" w:name="_Toc19101"/>
      <w:r>
        <w:rPr>
          <w:rFonts w:hint="eastAsia" w:ascii="黑体" w:hAnsi="黑体" w:eastAsia="黑体" w:cs="黑体"/>
          <w:color w:val="auto"/>
          <w:spacing w:val="7"/>
          <w:sz w:val="44"/>
          <w:szCs w:val="44"/>
          <w:lang w:val="en-US" w:eastAsia="zh-CN"/>
        </w:rPr>
        <w:t>第六章 利用及处置</w:t>
      </w:r>
      <w:bookmarkEnd w:id="285"/>
      <w:bookmarkEnd w:id="286"/>
      <w:bookmarkEnd w:id="287"/>
      <w:bookmarkEnd w:id="288"/>
    </w:p>
    <w:p w14:paraId="3C531017">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eastAsia" w:ascii="仿宋_GB2312" w:hAnsi="仿宋_GB2312" w:eastAsia="仿宋_GB2312" w:cs="仿宋_GB2312"/>
          <w:color w:val="auto"/>
          <w:spacing w:val="6"/>
          <w:sz w:val="32"/>
          <w:szCs w:val="32"/>
        </w:rPr>
      </w:pPr>
      <w:bookmarkStart w:id="289" w:name="_Toc32663"/>
      <w:bookmarkStart w:id="290" w:name="_Toc7161"/>
      <w:bookmarkStart w:id="291" w:name="_Toc20378"/>
      <w:bookmarkStart w:id="292" w:name="_Toc2346"/>
      <w:r>
        <w:rPr>
          <w:rFonts w:hint="eastAsia" w:ascii="黑体" w:hAnsi="黑体" w:eastAsia="黑体" w:cs="黑体"/>
          <w:b w:val="0"/>
          <w:bCs w:val="0"/>
          <w:color w:val="auto"/>
          <w:spacing w:val="2"/>
          <w:sz w:val="31"/>
          <w:szCs w:val="31"/>
          <w:lang w:val="en-US" w:eastAsia="zh-CN"/>
        </w:rPr>
        <w:t>一、建筑垃圾利用</w:t>
      </w:r>
      <w:bookmarkEnd w:id="289"/>
      <w:bookmarkEnd w:id="290"/>
      <w:bookmarkEnd w:id="291"/>
      <w:bookmarkEnd w:id="292"/>
    </w:p>
    <w:p w14:paraId="5B3B2EA3">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293" w:name="_Toc3576"/>
      <w:bookmarkStart w:id="294" w:name="_Toc17603"/>
      <w:bookmarkStart w:id="295" w:name="_Toc21800"/>
      <w:bookmarkStart w:id="296" w:name="_Toc16102"/>
      <w:r>
        <w:rPr>
          <w:rFonts w:hint="eastAsia" w:ascii="楷体_GB2312" w:hAnsi="楷体_GB2312" w:eastAsia="楷体_GB2312" w:cs="楷体_GB2312"/>
          <w:b/>
          <w:bCs/>
          <w:color w:val="auto"/>
          <w:spacing w:val="8"/>
          <w:sz w:val="32"/>
          <w:szCs w:val="32"/>
          <w:lang w:val="en-US" w:eastAsia="zh-CN"/>
        </w:rPr>
        <w:t>（一）直接利用</w:t>
      </w:r>
      <w:bookmarkEnd w:id="293"/>
      <w:bookmarkEnd w:id="294"/>
      <w:bookmarkEnd w:id="295"/>
      <w:bookmarkEnd w:id="296"/>
    </w:p>
    <w:p w14:paraId="734F57BB">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6" w:firstLineChars="200"/>
        <w:jc w:val="both"/>
        <w:textAlignment w:val="baseline"/>
        <w:outlineLvl w:val="2"/>
        <w:rPr>
          <w:rFonts w:hint="eastAsia" w:ascii="仿宋_GB2312" w:hAnsi="仿宋_GB2312" w:eastAsia="仿宋_GB2312" w:cs="仿宋_GB2312"/>
          <w:b/>
          <w:bCs/>
          <w:color w:val="auto"/>
          <w:spacing w:val="6"/>
          <w:sz w:val="31"/>
          <w:szCs w:val="31"/>
          <w:lang w:val="en-US" w:eastAsia="zh-CN"/>
        </w:rPr>
      </w:pPr>
      <w:r>
        <w:rPr>
          <w:rFonts w:hint="eastAsia" w:ascii="仿宋_GB2312" w:hAnsi="仿宋_GB2312" w:eastAsia="仿宋_GB2312" w:cs="仿宋_GB2312"/>
          <w:b/>
          <w:bCs/>
          <w:color w:val="auto"/>
          <w:spacing w:val="6"/>
          <w:sz w:val="31"/>
          <w:szCs w:val="31"/>
          <w:lang w:val="en-US" w:eastAsia="zh-CN"/>
        </w:rPr>
        <w:t>1.直接利用方式</w:t>
      </w:r>
    </w:p>
    <w:p w14:paraId="5B0F9B1B">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7"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b/>
          <w:bCs/>
          <w:color w:val="auto"/>
          <w:spacing w:val="6"/>
          <w:sz w:val="32"/>
          <w:szCs w:val="32"/>
          <w:lang w:val="en-US" w:eastAsia="zh-CN"/>
        </w:rPr>
        <w:t>（1）</w:t>
      </w:r>
      <w:r>
        <w:rPr>
          <w:rFonts w:hint="eastAsia" w:ascii="仿宋_GB2312" w:hAnsi="仿宋_GB2312" w:eastAsia="仿宋_GB2312" w:cs="仿宋_GB2312"/>
          <w:b/>
          <w:bCs/>
          <w:color w:val="auto"/>
          <w:spacing w:val="6"/>
          <w:sz w:val="32"/>
          <w:szCs w:val="32"/>
        </w:rPr>
        <w:t>工程渣土、工程泥浆（固化后）直接利用方式：</w:t>
      </w:r>
      <w:r>
        <w:rPr>
          <w:rFonts w:hint="eastAsia" w:ascii="仿宋_GB2312" w:hAnsi="仿宋_GB2312" w:eastAsia="仿宋_GB2312" w:cs="仿宋_GB2312"/>
          <w:color w:val="auto"/>
          <w:spacing w:val="6"/>
          <w:sz w:val="32"/>
          <w:szCs w:val="32"/>
        </w:rPr>
        <w:t>回填工程、地基加固、路基填垫、建筑材料原料、垃圾填埋场覆盖层材料、自密实材料等。</w:t>
      </w:r>
    </w:p>
    <w:p w14:paraId="41DF89A2">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lang w:val="en-US" w:eastAsia="zh-CN"/>
        </w:rPr>
        <w:t>①</w:t>
      </w:r>
      <w:r>
        <w:rPr>
          <w:rFonts w:hint="eastAsia" w:ascii="仿宋_GB2312" w:hAnsi="仿宋_GB2312" w:eastAsia="仿宋_GB2312" w:cs="仿宋_GB2312"/>
          <w:color w:val="auto"/>
          <w:spacing w:val="6"/>
          <w:sz w:val="32"/>
          <w:szCs w:val="32"/>
        </w:rPr>
        <w:t>回填工程：渣土可以作为回填材料使用，在房心土回填和深基础施工完成后，采用流态自密实固化土进行回填。不仅适用于房建领域，还可广泛应用于市政管廊的回填等。</w:t>
      </w:r>
    </w:p>
    <w:p w14:paraId="6FA02D16">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lang w:val="en-US" w:eastAsia="zh-CN"/>
        </w:rPr>
        <w:t>②</w:t>
      </w:r>
      <w:r>
        <w:rPr>
          <w:rFonts w:hint="eastAsia" w:ascii="仿宋_GB2312" w:hAnsi="仿宋_GB2312" w:eastAsia="仿宋_GB2312" w:cs="仿宋_GB2312"/>
          <w:color w:val="auto"/>
          <w:spacing w:val="6"/>
          <w:sz w:val="32"/>
          <w:szCs w:val="32"/>
        </w:rPr>
        <w:t>地基加固：在地基加固过程中，可以将工程渣土，经过机械破碎、筛分、预拌，形成流态自密实固化土浆，再灌入或压入地基中，进而增强地基的稳定性和承载力。</w:t>
      </w:r>
    </w:p>
    <w:p w14:paraId="68330274">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③路基填垫：经过处理的建筑垃圾再生骨料可以与石灰或水</w:t>
      </w:r>
      <w:r>
        <w:rPr>
          <w:rFonts w:hint="eastAsia" w:ascii="仿宋_GB2312" w:hAnsi="仿宋_GB2312" w:eastAsia="仿宋_GB2312" w:cs="仿宋_GB2312"/>
          <w:color w:val="auto"/>
          <w:spacing w:val="0"/>
          <w:sz w:val="32"/>
          <w:szCs w:val="32"/>
        </w:rPr>
        <w:t>泥结合制成结石层，作为半刚性或刚性基层材料使用于道路工程中。</w:t>
      </w:r>
    </w:p>
    <w:p w14:paraId="163F3E3B">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④建筑材料原料：固化后的泥浆可以作为建筑材料的原料，如砖、瓦等。</w:t>
      </w:r>
    </w:p>
    <w:p w14:paraId="0EA7ADB7">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⑤垃圾填埋场覆盖层材料：在填埋场覆盖层上使用固化处理后的泥浆可以覆盖垃圾坑内部，保护地下水资源免受污染。</w:t>
      </w:r>
    </w:p>
    <w:p w14:paraId="1C0646B3">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⑥自密实材料：以拆房、装修垃圾细粉料、工程泥浆为原料，加入软土固化剂、水泥、</w:t>
      </w:r>
      <w:r>
        <w:rPr>
          <w:rFonts w:hint="eastAsia" w:ascii="仿宋_GB2312" w:hAnsi="仿宋_GB2312" w:eastAsia="仿宋_GB2312" w:cs="仿宋_GB2312"/>
          <w:color w:val="auto"/>
          <w:spacing w:val="6"/>
          <w:sz w:val="32"/>
          <w:szCs w:val="32"/>
          <w:lang w:eastAsia="zh-CN"/>
        </w:rPr>
        <w:t>掺合料</w:t>
      </w:r>
      <w:r>
        <w:rPr>
          <w:rFonts w:hint="eastAsia" w:ascii="仿宋_GB2312" w:hAnsi="仿宋_GB2312" w:eastAsia="仿宋_GB2312" w:cs="仿宋_GB2312"/>
          <w:color w:val="auto"/>
          <w:spacing w:val="6"/>
          <w:sz w:val="32"/>
          <w:szCs w:val="32"/>
        </w:rPr>
        <w:t>、外加剂生产而成的工程填筑材料，可用于市政管线沟槽、基坑肥槽回填、地基处理与路基换填等工程。</w:t>
      </w:r>
    </w:p>
    <w:p w14:paraId="584327B5">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7"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b/>
          <w:bCs/>
          <w:color w:val="auto"/>
          <w:spacing w:val="6"/>
          <w:sz w:val="32"/>
          <w:szCs w:val="32"/>
          <w:lang w:eastAsia="zh-CN"/>
        </w:rPr>
        <w:t>（</w:t>
      </w:r>
      <w:r>
        <w:rPr>
          <w:rFonts w:hint="eastAsia" w:ascii="仿宋_GB2312" w:hAnsi="仿宋_GB2312" w:eastAsia="仿宋_GB2312" w:cs="仿宋_GB2312"/>
          <w:b/>
          <w:bCs/>
          <w:color w:val="auto"/>
          <w:spacing w:val="6"/>
          <w:sz w:val="32"/>
          <w:szCs w:val="32"/>
          <w:lang w:val="en-US" w:eastAsia="zh-CN"/>
        </w:rPr>
        <w:t>2）</w:t>
      </w:r>
      <w:r>
        <w:rPr>
          <w:rFonts w:hint="eastAsia" w:ascii="仿宋_GB2312" w:hAnsi="仿宋_GB2312" w:eastAsia="仿宋_GB2312" w:cs="仿宋_GB2312"/>
          <w:b/>
          <w:bCs/>
          <w:color w:val="auto"/>
          <w:spacing w:val="6"/>
          <w:sz w:val="32"/>
          <w:szCs w:val="32"/>
        </w:rPr>
        <w:t>工程垃圾、拆除垃圾和装修垃圾直接利用方式：</w:t>
      </w:r>
      <w:r>
        <w:rPr>
          <w:rFonts w:hint="eastAsia" w:ascii="仿宋_GB2312" w:hAnsi="仿宋_GB2312" w:eastAsia="仿宋_GB2312" w:cs="仿宋_GB2312"/>
          <w:color w:val="auto"/>
          <w:spacing w:val="6"/>
          <w:sz w:val="32"/>
          <w:szCs w:val="32"/>
        </w:rPr>
        <w:t>混凝土块、石块和碎砖块用于加固软土地基；拆除垃圾中完整尺寸的砖块经收集整理用于建筑施工工地的围墙、公路防护墙建设等；混凝土块、石块和碎砖块用于城市兴建大型建筑、广场、市政设施的回填料；拆除垃圾中完整钢筋、钢材和其他金属材料可用于一些工程项目。</w:t>
      </w:r>
    </w:p>
    <w:p w14:paraId="0F43C38E">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用作渣土桩填料：通过一定的动力设备将重锤拉高到适当高度后，失去拉力向下冲击地基，在地基坑中放入适量的以建筑垃</w:t>
      </w:r>
      <w:r>
        <w:rPr>
          <w:rFonts w:hint="eastAsia" w:ascii="仿宋_GB2312" w:hAnsi="仿宋_GB2312" w:eastAsia="仿宋_GB2312" w:cs="仿宋_GB2312"/>
          <w:color w:val="auto"/>
          <w:spacing w:val="0"/>
          <w:sz w:val="32"/>
          <w:szCs w:val="32"/>
        </w:rPr>
        <w:t>圾为主要原料的混凝土，经过夯实处理后能够满足加固地基的要求。</w:t>
      </w:r>
    </w:p>
    <w:p w14:paraId="2E324DAB">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用作夯扩桩填料：采用细长锤在护筒通过打击而下沉，然后在护筒内将处理好的建筑垃圾等材料放入</w:t>
      </w:r>
      <w:r>
        <w:rPr>
          <w:rFonts w:hint="eastAsia" w:ascii="仿宋_GB2312" w:hAnsi="仿宋_GB2312" w:eastAsia="仿宋_GB2312" w:cs="仿宋_GB2312"/>
          <w:color w:val="auto"/>
          <w:spacing w:val="6"/>
          <w:sz w:val="32"/>
          <w:szCs w:val="32"/>
          <w:lang w:eastAsia="zh-CN"/>
        </w:rPr>
        <w:t>并</w:t>
      </w:r>
      <w:r>
        <w:rPr>
          <w:rFonts w:hint="eastAsia" w:ascii="仿宋_GB2312" w:hAnsi="仿宋_GB2312" w:eastAsia="仿宋_GB2312" w:cs="仿宋_GB2312"/>
          <w:color w:val="auto"/>
          <w:spacing w:val="6"/>
          <w:sz w:val="32"/>
          <w:szCs w:val="32"/>
        </w:rPr>
        <w:t>夯实，形成负荷载体，最后放入钢筋并且浇筑为混凝土桩。这种由建筑垃圾构成的桩基本上能够满足现在建筑的各种要求。</w:t>
      </w:r>
    </w:p>
    <w:p w14:paraId="63B14C90">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6" w:firstLineChars="200"/>
        <w:jc w:val="both"/>
        <w:textAlignment w:val="baseline"/>
        <w:outlineLvl w:val="2"/>
        <w:rPr>
          <w:rFonts w:hint="eastAsia" w:ascii="仿宋_GB2312" w:hAnsi="仿宋_GB2312" w:eastAsia="仿宋_GB2312" w:cs="仿宋_GB2312"/>
          <w:b/>
          <w:bCs/>
          <w:color w:val="auto"/>
          <w:spacing w:val="6"/>
          <w:sz w:val="31"/>
          <w:szCs w:val="31"/>
          <w:lang w:val="en-US" w:eastAsia="zh-CN"/>
        </w:rPr>
      </w:pPr>
      <w:r>
        <w:rPr>
          <w:rFonts w:hint="eastAsia" w:ascii="仿宋_GB2312" w:hAnsi="仿宋_GB2312" w:eastAsia="仿宋_GB2312" w:cs="仿宋_GB2312"/>
          <w:b/>
          <w:bCs/>
          <w:color w:val="auto"/>
          <w:spacing w:val="6"/>
          <w:sz w:val="31"/>
          <w:szCs w:val="31"/>
          <w:lang w:val="en-US" w:eastAsia="zh-CN"/>
        </w:rPr>
        <w:t>2.直接利用要求</w:t>
      </w:r>
    </w:p>
    <w:p w14:paraId="48471C76">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工程泥浆直接利用之前需进行固化处理。工程渣土和工程泥浆</w:t>
      </w:r>
      <w:r>
        <w:rPr>
          <w:rFonts w:hint="eastAsia" w:ascii="仿宋_GB2312" w:hAnsi="仿宋_GB2312" w:eastAsia="仿宋_GB2312" w:cs="仿宋_GB2312"/>
          <w:color w:val="auto"/>
          <w:spacing w:val="6"/>
          <w:sz w:val="32"/>
          <w:szCs w:val="32"/>
          <w:lang w:eastAsia="zh-CN"/>
        </w:rPr>
        <w:t>（</w:t>
      </w:r>
      <w:r>
        <w:rPr>
          <w:rFonts w:hint="eastAsia" w:ascii="仿宋_GB2312" w:hAnsi="仿宋_GB2312" w:eastAsia="仿宋_GB2312" w:cs="仿宋_GB2312"/>
          <w:color w:val="auto"/>
          <w:spacing w:val="6"/>
          <w:sz w:val="32"/>
          <w:szCs w:val="32"/>
        </w:rPr>
        <w:t>固化后</w:t>
      </w:r>
      <w:r>
        <w:rPr>
          <w:rFonts w:hint="eastAsia" w:ascii="仿宋_GB2312" w:hAnsi="仿宋_GB2312" w:eastAsia="仿宋_GB2312" w:cs="仿宋_GB2312"/>
          <w:color w:val="auto"/>
          <w:spacing w:val="6"/>
          <w:sz w:val="32"/>
          <w:szCs w:val="32"/>
          <w:lang w:eastAsia="zh-CN"/>
        </w:rPr>
        <w:t>）</w:t>
      </w:r>
      <w:r>
        <w:rPr>
          <w:rFonts w:hint="eastAsia" w:ascii="仿宋_GB2312" w:hAnsi="仿宋_GB2312" w:eastAsia="仿宋_GB2312" w:cs="仿宋_GB2312"/>
          <w:color w:val="auto"/>
          <w:spacing w:val="6"/>
          <w:sz w:val="32"/>
          <w:szCs w:val="32"/>
        </w:rPr>
        <w:t>进行直接利用之前需进行土壤环境质量检测，需符合相应用地条件下的土壤环境质量标准。</w:t>
      </w:r>
    </w:p>
    <w:p w14:paraId="7ABB5686">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直接利用钢筋、钢材和其他金属材料应符合工程相应施工材料的质量要求。直接利用混凝土块、石块和碎砖块等材料不得影响工程项目的质量。</w:t>
      </w:r>
    </w:p>
    <w:p w14:paraId="2AF3D7FC">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施工场地表土清理过程中，表土应单独收集和堆放，符合条件的优先用于土地复垦、土壤改良、建筑绿化和矿坑修复等生态建设修复工程。建筑渣土回填过程中应采用分层回填的方式，控制每层回填土的厚度和压实</w:t>
      </w:r>
      <w:r>
        <w:rPr>
          <w:rFonts w:hint="eastAsia" w:ascii="仿宋_GB2312" w:hAnsi="仿宋_GB2312" w:eastAsia="仿宋_GB2312" w:cs="仿宋_GB2312"/>
          <w:color w:val="auto"/>
          <w:spacing w:val="6"/>
          <w:sz w:val="32"/>
          <w:szCs w:val="32"/>
          <w:lang w:eastAsia="zh-CN"/>
        </w:rPr>
        <w:t>度</w:t>
      </w:r>
      <w:r>
        <w:rPr>
          <w:rFonts w:hint="eastAsia" w:ascii="仿宋_GB2312" w:hAnsi="仿宋_GB2312" w:eastAsia="仿宋_GB2312" w:cs="仿宋_GB2312"/>
          <w:color w:val="auto"/>
          <w:spacing w:val="6"/>
          <w:sz w:val="32"/>
          <w:szCs w:val="32"/>
        </w:rPr>
        <w:t>有助于确保回填土的均匀性和稳定性。且应采取有效措施防止渣土对周围环境的污染。例如，可以采用防尘网覆盖、洒水等措施减少扬尘污染。回填完成后，应对回填土进行压实度检测。这可以通过使用压实度计等设备进行快速准确</w:t>
      </w:r>
      <w:r>
        <w:rPr>
          <w:rFonts w:hint="eastAsia" w:ascii="仿宋_GB2312" w:hAnsi="仿宋_GB2312" w:eastAsia="仿宋_GB2312" w:cs="仿宋_GB2312"/>
          <w:color w:val="auto"/>
          <w:spacing w:val="6"/>
          <w:sz w:val="32"/>
          <w:szCs w:val="32"/>
          <w:lang w:eastAsia="zh-CN"/>
        </w:rPr>
        <w:t>地</w:t>
      </w:r>
      <w:r>
        <w:rPr>
          <w:rFonts w:hint="eastAsia" w:ascii="仿宋_GB2312" w:hAnsi="仿宋_GB2312" w:eastAsia="仿宋_GB2312" w:cs="仿宋_GB2312"/>
          <w:color w:val="auto"/>
          <w:spacing w:val="6"/>
          <w:sz w:val="32"/>
          <w:szCs w:val="32"/>
        </w:rPr>
        <w:t>检测，以评估回填质量。</w:t>
      </w:r>
    </w:p>
    <w:p w14:paraId="5AC9F192">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297" w:name="_Toc19788"/>
      <w:bookmarkStart w:id="298" w:name="_Toc7352"/>
      <w:bookmarkStart w:id="299" w:name="_Toc3938"/>
      <w:bookmarkStart w:id="300" w:name="_Toc32618"/>
      <w:r>
        <w:rPr>
          <w:rFonts w:hint="eastAsia" w:ascii="楷体_GB2312" w:hAnsi="楷体_GB2312" w:eastAsia="楷体_GB2312" w:cs="楷体_GB2312"/>
          <w:b/>
          <w:bCs/>
          <w:color w:val="auto"/>
          <w:spacing w:val="8"/>
          <w:sz w:val="32"/>
          <w:szCs w:val="32"/>
          <w:lang w:val="en-US" w:eastAsia="zh-CN"/>
        </w:rPr>
        <w:t>（二）资源化利用</w:t>
      </w:r>
      <w:bookmarkEnd w:id="297"/>
      <w:bookmarkEnd w:id="298"/>
      <w:bookmarkEnd w:id="299"/>
      <w:bookmarkEnd w:id="300"/>
    </w:p>
    <w:p w14:paraId="71AA09F8">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建筑垃圾资源化利用是指将建筑垃圾作为资源化产品生产原料，通过资源化技术手段用于生产再生骨料、再生砖、再生砌块、再生景观石、再生混凝土、再生稳定碎石、再生预拌砂浆等资源化产品。各类建筑垃圾资源化利用方式如下：</w:t>
      </w:r>
    </w:p>
    <w:p w14:paraId="22A9300A">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6"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b/>
          <w:bCs/>
          <w:color w:val="auto"/>
          <w:spacing w:val="6"/>
          <w:sz w:val="31"/>
          <w:szCs w:val="31"/>
          <w:lang w:val="en-US" w:eastAsia="zh-CN"/>
        </w:rPr>
        <w:t>1.工程渣土</w:t>
      </w:r>
      <w:r>
        <w:rPr>
          <w:rFonts w:hint="eastAsia" w:ascii="仿宋_GB2312" w:hAnsi="仿宋_GB2312" w:eastAsia="仿宋_GB2312" w:cs="仿宋_GB2312"/>
          <w:color w:val="auto"/>
          <w:spacing w:val="6"/>
          <w:sz w:val="32"/>
          <w:szCs w:val="32"/>
        </w:rPr>
        <w:t>：用作路基土、种植屋面回填土、地下室顶板及侧壁回填土等，利用时应符合相关技术规范要求。其余质量较好的工程渣土进入资源化企业，将其掺杂进再生建材生产线，制造再生烧结砖等再生建材。规划远期加大工程渣土的资源化利用比例。</w:t>
      </w:r>
    </w:p>
    <w:p w14:paraId="3DA642D9">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6"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b/>
          <w:bCs/>
          <w:color w:val="auto"/>
          <w:spacing w:val="6"/>
          <w:sz w:val="31"/>
          <w:szCs w:val="31"/>
          <w:lang w:val="en-US" w:eastAsia="zh-CN"/>
        </w:rPr>
        <w:t>2.工程泥浆</w:t>
      </w:r>
      <w:r>
        <w:rPr>
          <w:rFonts w:hint="eastAsia" w:ascii="仿宋_GB2312" w:hAnsi="仿宋_GB2312" w:eastAsia="仿宋_GB2312" w:cs="仿宋_GB2312"/>
          <w:b w:val="0"/>
          <w:bCs w:val="0"/>
          <w:color w:val="auto"/>
          <w:spacing w:val="6"/>
          <w:sz w:val="31"/>
          <w:szCs w:val="31"/>
          <w:lang w:val="en-US" w:eastAsia="zh-CN"/>
        </w:rPr>
        <w:t>：</w:t>
      </w:r>
      <w:r>
        <w:rPr>
          <w:rFonts w:hint="eastAsia" w:ascii="仿宋_GB2312" w:hAnsi="仿宋_GB2312" w:eastAsia="仿宋_GB2312" w:cs="仿宋_GB2312"/>
          <w:color w:val="auto"/>
          <w:spacing w:val="6"/>
          <w:sz w:val="32"/>
          <w:szCs w:val="32"/>
        </w:rPr>
        <w:t>源头脱水干化后，泥饼可用作回填、场地覆盖或制备再生产品，废弃泥饼可随同工程渣土合并外运至建筑垃圾终端处置设施处理，施工单位需统计废弃泥饼产生量。</w:t>
      </w:r>
    </w:p>
    <w:p w14:paraId="61842F25">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6" w:firstLineChars="200"/>
        <w:jc w:val="both"/>
        <w:textAlignment w:val="baseline"/>
        <w:rPr>
          <w:rFonts w:hint="eastAsia" w:ascii="黑体" w:hAnsi="黑体" w:eastAsia="黑体" w:cs="黑体"/>
          <w:color w:val="auto"/>
          <w:spacing w:val="6"/>
          <w:sz w:val="31"/>
          <w:szCs w:val="31"/>
        </w:rPr>
      </w:pPr>
      <w:r>
        <w:rPr>
          <w:rFonts w:hint="eastAsia" w:ascii="仿宋_GB2312" w:hAnsi="仿宋_GB2312" w:eastAsia="仿宋_GB2312" w:cs="仿宋_GB2312"/>
          <w:b/>
          <w:bCs/>
          <w:color w:val="auto"/>
          <w:spacing w:val="6"/>
          <w:sz w:val="31"/>
          <w:szCs w:val="31"/>
          <w:lang w:val="en-US" w:eastAsia="zh-CN"/>
        </w:rPr>
        <w:t>3.工程垃圾</w:t>
      </w:r>
      <w:r>
        <w:rPr>
          <w:rFonts w:hint="eastAsia" w:ascii="仿宋_GB2312" w:hAnsi="仿宋_GB2312" w:eastAsia="仿宋_GB2312" w:cs="仿宋_GB2312"/>
          <w:color w:val="auto"/>
          <w:spacing w:val="6"/>
          <w:sz w:val="32"/>
          <w:szCs w:val="32"/>
        </w:rPr>
        <w:t>：采用“资源化利用为主，消纳为辅”的处理模式，最大化实现资源化利用。经中转站分拣后，废弃混凝土优先用于生产再生骨料，废弃沥青混合料优先用于生产再生混合料</w:t>
      </w:r>
      <w:r>
        <w:rPr>
          <w:rFonts w:hint="eastAsia" w:ascii="仿宋_GB2312" w:hAnsi="仿宋_GB2312" w:eastAsia="仿宋_GB2312" w:cs="仿宋_GB2312"/>
          <w:color w:val="auto"/>
          <w:spacing w:val="6"/>
          <w:sz w:val="32"/>
          <w:szCs w:val="32"/>
          <w:lang w:eastAsia="zh-CN"/>
        </w:rPr>
        <w:t>：</w:t>
      </w:r>
      <w:r>
        <w:rPr>
          <w:rFonts w:hint="eastAsia" w:ascii="仿宋_GB2312" w:hAnsi="仿宋_GB2312" w:eastAsia="仿宋_GB2312" w:cs="仿宋_GB2312"/>
          <w:color w:val="auto"/>
          <w:spacing w:val="6"/>
          <w:sz w:val="32"/>
          <w:szCs w:val="32"/>
        </w:rPr>
        <w:t>废弃模板根据材质分类回收，竹木材质宜用作再生板材、纸张或生物质燃料等的原材料。</w:t>
      </w:r>
    </w:p>
    <w:p w14:paraId="4424D441">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eastAsia" w:ascii="黑体" w:hAnsi="黑体" w:eastAsia="黑体" w:cs="黑体"/>
          <w:b w:val="0"/>
          <w:bCs w:val="0"/>
          <w:color w:val="auto"/>
          <w:spacing w:val="2"/>
          <w:sz w:val="31"/>
          <w:szCs w:val="31"/>
          <w:lang w:val="en-US" w:eastAsia="zh-CN"/>
        </w:rPr>
      </w:pPr>
      <w:bookmarkStart w:id="301" w:name="_Toc19636"/>
      <w:bookmarkStart w:id="302" w:name="_Toc20535"/>
      <w:bookmarkStart w:id="303" w:name="_Toc14560"/>
      <w:bookmarkStart w:id="304" w:name="_Toc26628"/>
      <w:r>
        <w:rPr>
          <w:rFonts w:hint="eastAsia" w:ascii="黑体" w:hAnsi="黑体" w:eastAsia="黑体" w:cs="黑体"/>
          <w:b w:val="0"/>
          <w:bCs w:val="0"/>
          <w:color w:val="auto"/>
          <w:spacing w:val="2"/>
          <w:sz w:val="31"/>
          <w:szCs w:val="31"/>
          <w:lang w:val="en-US" w:eastAsia="zh-CN"/>
        </w:rPr>
        <w:t>二、建筑垃圾处置</w:t>
      </w:r>
      <w:bookmarkEnd w:id="301"/>
      <w:bookmarkEnd w:id="302"/>
      <w:bookmarkEnd w:id="303"/>
      <w:bookmarkEnd w:id="304"/>
    </w:p>
    <w:p w14:paraId="742246AD">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305" w:name="_Toc31481"/>
      <w:bookmarkStart w:id="306" w:name="_Toc24145"/>
      <w:bookmarkStart w:id="307" w:name="_Toc13366"/>
      <w:bookmarkStart w:id="308" w:name="_Toc19034"/>
      <w:r>
        <w:rPr>
          <w:rFonts w:hint="eastAsia" w:ascii="楷体_GB2312" w:hAnsi="楷体_GB2312" w:eastAsia="楷体_GB2312" w:cs="楷体_GB2312"/>
          <w:b/>
          <w:bCs/>
          <w:color w:val="auto"/>
          <w:spacing w:val="8"/>
          <w:sz w:val="32"/>
          <w:szCs w:val="32"/>
          <w:lang w:val="en-US" w:eastAsia="zh-CN"/>
        </w:rPr>
        <w:t>（一）处置原则</w:t>
      </w:r>
      <w:bookmarkEnd w:id="305"/>
      <w:bookmarkEnd w:id="306"/>
      <w:bookmarkEnd w:id="307"/>
      <w:bookmarkEnd w:id="308"/>
    </w:p>
    <w:p w14:paraId="7B0DA521">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2" w:firstLineChars="200"/>
        <w:jc w:val="both"/>
        <w:textAlignment w:val="baseline"/>
        <w:rPr>
          <w:rFonts w:hint="default"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以“安全规范、生态优先、长效管控”为原则，聚焦甘州区建筑垃圾处置设施短板与环境风险隐患，分类型明确处置方式，</w:t>
      </w:r>
      <w:r>
        <w:rPr>
          <w:rFonts w:hint="eastAsia" w:ascii="仿宋_GB2312" w:hAnsi="仿宋_GB2312" w:eastAsia="仿宋_GB2312" w:cs="仿宋_GB2312"/>
          <w:b w:val="0"/>
          <w:bCs w:val="0"/>
          <w:color w:val="auto"/>
          <w:spacing w:val="0"/>
          <w:sz w:val="32"/>
          <w:szCs w:val="32"/>
          <w:lang w:val="en-US" w:eastAsia="zh-CN"/>
        </w:rPr>
        <w:t>分阶段推进处置体系建设，确保需处置的建筑垃圾100%无害化处置。</w:t>
      </w:r>
    </w:p>
    <w:p w14:paraId="31B02230">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309" w:name="_Toc10951"/>
      <w:bookmarkStart w:id="310" w:name="_Toc25515"/>
      <w:bookmarkStart w:id="311" w:name="_Toc15805"/>
      <w:bookmarkStart w:id="312" w:name="_Toc29605"/>
      <w:r>
        <w:rPr>
          <w:rFonts w:hint="eastAsia" w:ascii="楷体_GB2312" w:hAnsi="楷体_GB2312" w:eastAsia="楷体_GB2312" w:cs="楷体_GB2312"/>
          <w:b/>
          <w:bCs/>
          <w:color w:val="auto"/>
          <w:spacing w:val="8"/>
          <w:sz w:val="32"/>
          <w:szCs w:val="32"/>
          <w:lang w:val="en-US" w:eastAsia="zh-CN"/>
        </w:rPr>
        <w:t>（二）处置方式​</w:t>
      </w:r>
      <w:bookmarkEnd w:id="309"/>
      <w:bookmarkEnd w:id="310"/>
      <w:bookmarkEnd w:id="311"/>
      <w:bookmarkEnd w:id="312"/>
    </w:p>
    <w:p w14:paraId="48DE7233">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5" w:firstLineChars="200"/>
        <w:jc w:val="both"/>
        <w:textAlignment w:val="baseline"/>
        <w:rPr>
          <w:rFonts w:hint="eastAsia"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bCs/>
          <w:color w:val="auto"/>
          <w:spacing w:val="8"/>
          <w:sz w:val="32"/>
          <w:szCs w:val="32"/>
          <w:lang w:val="en-US" w:eastAsia="zh-CN"/>
        </w:rPr>
        <w:t>1.工程渣土处置</w:t>
      </w:r>
      <w:r>
        <w:rPr>
          <w:rFonts w:hint="eastAsia" w:ascii="仿宋_GB2312" w:hAnsi="仿宋_GB2312" w:eastAsia="仿宋_GB2312" w:cs="仿宋_GB2312"/>
          <w:b w:val="0"/>
          <w:bCs w:val="0"/>
          <w:color w:val="auto"/>
          <w:spacing w:val="8"/>
          <w:sz w:val="32"/>
          <w:szCs w:val="32"/>
          <w:lang w:val="en-US" w:eastAsia="zh-CN"/>
        </w:rPr>
        <w:t>：针对建筑施工、道路开挖产生的工程渣土（占全区需处置建筑垃圾总量的40%～45%），采用“合规调配+规范填埋”结合方式。可用于城市绿化用土、河道清淤回填、低洼地块垫高（如城区东部未开发地块平整）的渣土，经检测符合《土壤环境质量建设用地土壤污染风险管控标准》（GB36600）后，直接调配至对应项目；其余工程渣土运输至规范化消纳场，采用分层压实填埋工艺（压实密度≥1.8吨/立方米），填埋后及时覆盖防尘网或HDPE膜，防止扬尘与水土流失。​</w:t>
      </w:r>
    </w:p>
    <w:p w14:paraId="5997BDA5">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5" w:firstLineChars="200"/>
        <w:jc w:val="both"/>
        <w:textAlignment w:val="baseline"/>
        <w:rPr>
          <w:rFonts w:hint="eastAsia"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bCs/>
          <w:color w:val="auto"/>
          <w:spacing w:val="8"/>
          <w:sz w:val="32"/>
          <w:szCs w:val="32"/>
          <w:lang w:val="en-US" w:eastAsia="zh-CN"/>
        </w:rPr>
        <w:t>2.废弃混凝土、砖石处置</w:t>
      </w:r>
      <w:r>
        <w:rPr>
          <w:rFonts w:hint="eastAsia" w:ascii="仿宋_GB2312" w:hAnsi="仿宋_GB2312" w:eastAsia="仿宋_GB2312" w:cs="仿宋_GB2312"/>
          <w:b w:val="0"/>
          <w:bCs w:val="0"/>
          <w:color w:val="auto"/>
          <w:spacing w:val="8"/>
          <w:sz w:val="32"/>
          <w:szCs w:val="32"/>
          <w:lang w:val="en-US" w:eastAsia="zh-CN"/>
        </w:rPr>
        <w:t>：此类建筑垃圾（占需处置总量的30%～35%）中，因成分混杂（如附着大量杂质）或运输成本过高需直接处置的，先在转运调配场进行分拣除杂，去除塑料、木材等异物后，运输至消纳场单独分区填埋，避免与其他垃圾混填影响场地后续利用；城郊乡镇区域少量此类建筑垃圾，可就地用于农村田间道路基层铺设、宅基地平整，实现就近规范处置。​</w:t>
      </w:r>
    </w:p>
    <w:p w14:paraId="493F9AF8">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5" w:firstLineChars="200"/>
        <w:jc w:val="both"/>
        <w:textAlignment w:val="baseline"/>
        <w:rPr>
          <w:rFonts w:hint="eastAsia"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bCs/>
          <w:color w:val="auto"/>
          <w:spacing w:val="8"/>
          <w:sz w:val="32"/>
          <w:szCs w:val="32"/>
          <w:lang w:val="en-US" w:eastAsia="zh-CN"/>
        </w:rPr>
        <w:t>3.混合建筑垃圾处置</w:t>
      </w:r>
      <w:r>
        <w:rPr>
          <w:rFonts w:hint="eastAsia" w:ascii="仿宋_GB2312" w:hAnsi="仿宋_GB2312" w:eastAsia="仿宋_GB2312" w:cs="仿宋_GB2312"/>
          <w:b w:val="0"/>
          <w:bCs w:val="0"/>
          <w:color w:val="auto"/>
          <w:spacing w:val="8"/>
          <w:sz w:val="32"/>
          <w:szCs w:val="32"/>
          <w:lang w:val="en-US" w:eastAsia="zh-CN"/>
        </w:rPr>
        <w:t>：包含装修垃圾、拆除垃圾中的混合成分（含木材、塑料、金属等，占需处置总量的20%～25%），需先在转运调配场进行分类分拣，去除可回收物资后，剩余不可利用部分（如混杂涂料的建筑垃圾）运输至消纳场专用填埋区，采用“黏土隔离层+HDPE膜防渗”双重防护措施，防止有害物质渗入土壤；对疑似含危险废物的混合垃圾（如含有害涂料、胶粘剂的装修垃圾），需先由生态环境部门委托第三方检测，确认无危险成分后再按规范填埋，若含危险成分则移交有资质单位处置。​</w:t>
      </w:r>
    </w:p>
    <w:p w14:paraId="23CCE02A">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5" w:firstLineChars="200"/>
        <w:jc w:val="both"/>
        <w:textAlignment w:val="baseline"/>
        <w:rPr>
          <w:rFonts w:hint="eastAsia"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bCs/>
          <w:color w:val="auto"/>
          <w:spacing w:val="8"/>
          <w:sz w:val="32"/>
          <w:szCs w:val="32"/>
          <w:lang w:val="en-US" w:eastAsia="zh-CN"/>
        </w:rPr>
        <w:t>4.工程泥浆处置</w:t>
      </w:r>
      <w:r>
        <w:rPr>
          <w:rFonts w:hint="eastAsia" w:ascii="仿宋_GB2312" w:hAnsi="仿宋_GB2312" w:eastAsia="仿宋_GB2312" w:cs="仿宋_GB2312"/>
          <w:b w:val="0"/>
          <w:bCs w:val="0"/>
          <w:color w:val="auto"/>
          <w:spacing w:val="8"/>
          <w:sz w:val="32"/>
          <w:szCs w:val="32"/>
          <w:lang w:val="en-US" w:eastAsia="zh-CN"/>
        </w:rPr>
        <w:t>：建筑桩基施工产生的工程泥浆（占需处置总量的5%以内），采用“脱水干化+规范填埋”方式，在施工现场或转运调配场通过压滤设备脱水，干化泥饼经检测合格后运输至消纳场填埋，产生的废水经处理达标后排入市政污水管网，严禁未经处理直接排放至河道、农田。​</w:t>
      </w:r>
    </w:p>
    <w:p w14:paraId="1033EFAA">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313" w:name="_Toc7678"/>
      <w:bookmarkStart w:id="314" w:name="_Toc14033"/>
      <w:bookmarkStart w:id="315" w:name="_Toc27984"/>
      <w:bookmarkStart w:id="316" w:name="_Toc20398"/>
      <w:r>
        <w:rPr>
          <w:rFonts w:hint="eastAsia" w:ascii="楷体_GB2312" w:hAnsi="楷体_GB2312" w:eastAsia="楷体_GB2312" w:cs="楷体_GB2312"/>
          <w:b/>
          <w:bCs/>
          <w:color w:val="auto"/>
          <w:spacing w:val="8"/>
          <w:sz w:val="32"/>
          <w:szCs w:val="32"/>
          <w:lang w:val="en-US" w:eastAsia="zh-CN"/>
        </w:rPr>
        <w:t>（三）处置过程监管</w:t>
      </w:r>
      <w:bookmarkEnd w:id="313"/>
    </w:p>
    <w:p w14:paraId="2F38CEB5">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2" w:firstLineChars="200"/>
        <w:textAlignment w:val="baseline"/>
        <w:outlineLvl w:val="9"/>
        <w:rPr>
          <w:rFonts w:hint="eastAsia" w:ascii="黑体" w:hAnsi="黑体" w:eastAsia="黑体" w:cs="黑体"/>
          <w:b w:val="0"/>
          <w:bCs w:val="0"/>
          <w:color w:val="auto"/>
          <w:spacing w:val="2"/>
          <w:sz w:val="31"/>
          <w:szCs w:val="31"/>
          <w:lang w:val="en-US" w:eastAsia="zh-CN"/>
        </w:rPr>
      </w:pPr>
      <w:r>
        <w:rPr>
          <w:rFonts w:hint="eastAsia" w:ascii="仿宋_GB2312" w:hAnsi="仿宋_GB2312" w:eastAsia="仿宋_GB2312" w:cs="仿宋_GB2312"/>
          <w:b w:val="0"/>
          <w:bCs w:val="0"/>
          <w:color w:val="auto"/>
          <w:spacing w:val="8"/>
          <w:sz w:val="32"/>
          <w:szCs w:val="32"/>
          <w:lang w:val="en-US" w:eastAsia="zh-CN"/>
        </w:rPr>
        <w:t>近期建立建筑垃圾处置“入场核验－分区填埋－离场登记”制度，所有消纳场配备智能地磅（精度±0.1吨）、视频监控（覆盖进场口、填埋作业区、渗滤液处理区）及环境监测设备（监测指标含渗滤液pH值、COD、氨氮及场界PM2.5、噪声），数据实时上传至甘州区建筑垃圾智慧监管平台，严禁生活垃圾、危险废物混入建筑垃圾填埋；加强处置作业规范管理，要求填埋作业采用“分层压实－覆膜覆盖”工艺（压实密度≥1.8吨/立方米，每日作业结束后覆盖HDPE膜或防尘网），减少扬尘与异味扩散。远期进一步强化监管能力，在消纳场周边布设地下水监测井（每处3口，分别位于上游、下游及场地内），开展地下水水质检测；引入第三方机构对消纳场运营情况进行年度评估，评估结果与运营单位资质挂钩；建立消纳场闭场后管护机制，闭场前完成终场覆盖（铺设黏土防渗层+植被层），闭场后持续开展5年环境监测，确保生态恢复效果稳定。</w:t>
      </w:r>
    </w:p>
    <w:p w14:paraId="6722402B">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eastAsia" w:ascii="黑体" w:hAnsi="黑体" w:eastAsia="黑体" w:cs="黑体"/>
          <w:b w:val="0"/>
          <w:bCs w:val="0"/>
          <w:color w:val="auto"/>
          <w:spacing w:val="2"/>
          <w:sz w:val="31"/>
          <w:szCs w:val="31"/>
          <w:lang w:val="en-US" w:eastAsia="zh-CN"/>
        </w:rPr>
      </w:pPr>
      <w:bookmarkStart w:id="317" w:name="_Toc9265"/>
      <w:r>
        <w:rPr>
          <w:rFonts w:hint="eastAsia" w:ascii="黑体" w:hAnsi="黑体" w:eastAsia="黑体" w:cs="黑体"/>
          <w:b w:val="0"/>
          <w:bCs w:val="0"/>
          <w:color w:val="auto"/>
          <w:spacing w:val="2"/>
          <w:sz w:val="31"/>
          <w:szCs w:val="31"/>
          <w:lang w:val="en-US" w:eastAsia="zh-CN"/>
        </w:rPr>
        <w:t>三、设施提质改造​</w:t>
      </w:r>
      <w:bookmarkEnd w:id="314"/>
      <w:bookmarkEnd w:id="315"/>
      <w:bookmarkEnd w:id="316"/>
      <w:bookmarkEnd w:id="317"/>
    </w:p>
    <w:p w14:paraId="7EDA5096">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2" w:firstLineChars="200"/>
        <w:jc w:val="both"/>
        <w:textAlignment w:val="baseline"/>
        <w:rPr>
          <w:rFonts w:hint="eastAsia" w:ascii="仿宋_GB2312" w:hAnsi="仿宋_GB2312" w:eastAsia="仿宋_GB2312" w:cs="仿宋_GB2312"/>
          <w:b w:val="0"/>
          <w:bCs w:val="0"/>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针对</w:t>
      </w:r>
      <w:r>
        <w:rPr>
          <w:rFonts w:hint="eastAsia" w:ascii="仿宋_GB2312" w:hAnsi="仿宋_GB2312" w:eastAsia="仿宋_GB2312" w:cs="仿宋_GB2312"/>
          <w:color w:val="auto"/>
          <w:spacing w:val="8"/>
          <w:sz w:val="32"/>
          <w:szCs w:val="32"/>
          <w:lang w:eastAsia="zh-CN"/>
        </w:rPr>
        <w:t>仍在运营使用</w:t>
      </w:r>
      <w:r>
        <w:rPr>
          <w:rFonts w:hint="eastAsia" w:ascii="仿宋_GB2312" w:hAnsi="仿宋_GB2312" w:eastAsia="仿宋_GB2312" w:cs="仿宋_GB2312"/>
          <w:b w:val="0"/>
          <w:bCs w:val="0"/>
          <w:color w:val="auto"/>
          <w:spacing w:val="8"/>
          <w:sz w:val="32"/>
          <w:szCs w:val="32"/>
          <w:lang w:val="en-US" w:eastAsia="zh-CN"/>
        </w:rPr>
        <w:t>的、位于循环经济产业园的1处建筑垃圾消纳场启动全域提质改造工程，按《一般工业固体废物贮存和填埋污染控制标准》（GB18599-2020）完善防渗系统（采用“HDPE膜+膨润土防水毯”双层防渗结构，膜厚度≥1.5mm）、渗滤液处理系统（每处新增1套日处理能力20吨的一体化设备，出水水质达到《地下水质量标准》GB/T14848的Ⅲ类标准）及导气系统（每5000平方米布设1套导气管，降低甲烷聚集风险），改造后单场填埋容量提升10%～15%，全部达到规范化运营标准。​</w:t>
      </w:r>
    </w:p>
    <w:p w14:paraId="12B5EA87">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eastAsia" w:ascii="黑体" w:hAnsi="黑体" w:eastAsia="黑体" w:cs="黑体"/>
          <w:b w:val="0"/>
          <w:bCs w:val="0"/>
          <w:color w:val="auto"/>
          <w:spacing w:val="2"/>
          <w:sz w:val="31"/>
          <w:szCs w:val="31"/>
          <w:lang w:val="en-US" w:eastAsia="zh-CN"/>
        </w:rPr>
      </w:pPr>
      <w:bookmarkStart w:id="318" w:name="_Toc25518"/>
      <w:bookmarkStart w:id="319" w:name="_Toc21281"/>
      <w:bookmarkStart w:id="320" w:name="_Toc7791"/>
      <w:bookmarkStart w:id="321" w:name="_Toc1104"/>
      <w:r>
        <w:rPr>
          <w:rFonts w:hint="eastAsia" w:ascii="黑体" w:hAnsi="黑体" w:eastAsia="黑体" w:cs="黑体"/>
          <w:b w:val="0"/>
          <w:bCs w:val="0"/>
          <w:color w:val="auto"/>
          <w:spacing w:val="2"/>
          <w:sz w:val="31"/>
          <w:szCs w:val="31"/>
          <w:lang w:val="en-US" w:eastAsia="zh-CN"/>
        </w:rPr>
        <w:t>四、历史遗留建筑垃圾处置​</w:t>
      </w:r>
      <w:bookmarkEnd w:id="318"/>
      <w:bookmarkEnd w:id="319"/>
      <w:bookmarkEnd w:id="320"/>
      <w:bookmarkEnd w:id="321"/>
    </w:p>
    <w:p w14:paraId="5F2FE0A9">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2" w:firstLineChars="200"/>
        <w:jc w:val="both"/>
        <w:textAlignment w:val="baseline"/>
        <w:rPr>
          <w:rFonts w:hint="eastAsia" w:ascii="楷体_GB2312" w:hAnsi="楷体_GB2312" w:eastAsia="楷体_GB2312" w:cs="楷体_GB2312"/>
          <w:b/>
          <w:bCs/>
          <w:color w:val="auto"/>
          <w:spacing w:val="8"/>
          <w:sz w:val="32"/>
          <w:szCs w:val="32"/>
          <w:lang w:val="en-US" w:eastAsia="zh-CN"/>
        </w:rPr>
      </w:pPr>
      <w:r>
        <w:rPr>
          <w:rFonts w:hint="eastAsia" w:ascii="仿宋_GB2312" w:hAnsi="仿宋_GB2312" w:eastAsia="仿宋_GB2312" w:cs="仿宋_GB2312"/>
          <w:b w:val="0"/>
          <w:bCs w:val="0"/>
          <w:color w:val="auto"/>
          <w:spacing w:val="8"/>
          <w:sz w:val="32"/>
          <w:szCs w:val="32"/>
          <w:lang w:val="en-US" w:eastAsia="zh-CN"/>
        </w:rPr>
        <w:t>全面排查甘州区城乡接合部、河道沿岸等区域历史遗留建筑垃圾堆放点，建立“一点一档”台账（含位置、规模、成分、环境风险等级等信息），优先处置环境风险高的点位：对城区外围3处大型堆放点（总规模约5万吨），采用“筛分分类+规范填埋”模式，经分拣去除异物后，剩余部分转运至规范化消纳场，场地平整后复绿或用于市政设施建设用地。远期完成全部历史遗留堆放点整治，同步建立“动态排查－及时处置”机制，每年度开展1次全域排查，确保新增遗留堆放点“发现即处置”，消除土壤、地下水及大气污染风险，恢复区域生态功能。​</w:t>
      </w:r>
      <w:r>
        <w:rPr>
          <w:rFonts w:hint="eastAsia" w:ascii="楷体_GB2312" w:hAnsi="楷体_GB2312" w:eastAsia="楷体_GB2312" w:cs="楷体_GB2312"/>
          <w:b/>
          <w:bCs/>
          <w:color w:val="auto"/>
          <w:spacing w:val="8"/>
          <w:sz w:val="32"/>
          <w:szCs w:val="32"/>
          <w:lang w:val="en-US" w:eastAsia="zh-CN"/>
        </w:rPr>
        <w:t>​</w:t>
      </w:r>
    </w:p>
    <w:p w14:paraId="61464C4A">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0" w:firstLineChars="0"/>
        <w:jc w:val="both"/>
        <w:textAlignment w:val="baseline"/>
        <w:rPr>
          <w:rFonts w:hint="eastAsia" w:ascii="黑体" w:hAnsi="黑体" w:eastAsia="黑体" w:cs="黑体"/>
          <w:color w:val="auto"/>
          <w:spacing w:val="6"/>
          <w:sz w:val="31"/>
          <w:szCs w:val="31"/>
        </w:rPr>
        <w:sectPr>
          <w:headerReference r:id="rId12" w:type="default"/>
          <w:pgSz w:w="23811" w:h="16838" w:orient="landscape"/>
          <w:pgMar w:top="1800" w:right="1440" w:bottom="1800" w:left="1440" w:header="851" w:footer="992" w:gutter="0"/>
          <w:pgNumType w:fmt="numberInDash"/>
          <w:cols w:space="2106" w:num="2"/>
          <w:docGrid w:type="lines" w:linePitch="312" w:charSpace="0"/>
        </w:sectPr>
      </w:pPr>
    </w:p>
    <w:p w14:paraId="534BD75B">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313" w:afterLines="100" w:line="560" w:lineRule="exact"/>
        <w:ind w:right="0" w:rightChars="0"/>
        <w:jc w:val="center"/>
        <w:textAlignment w:val="baseline"/>
        <w:outlineLvl w:val="0"/>
        <w:rPr>
          <w:rFonts w:hint="eastAsia" w:ascii="仿宋_GB2312" w:hAnsi="仿宋_GB2312" w:eastAsia="仿宋_GB2312" w:cs="仿宋_GB2312"/>
          <w:color w:val="auto"/>
          <w:spacing w:val="6"/>
          <w:sz w:val="44"/>
          <w:szCs w:val="44"/>
          <w:lang w:val="en-US" w:eastAsia="zh-CN"/>
        </w:rPr>
      </w:pPr>
      <w:bookmarkStart w:id="322" w:name="_Toc27036"/>
      <w:bookmarkStart w:id="323" w:name="_Toc21673"/>
      <w:bookmarkStart w:id="324" w:name="_Toc17536"/>
      <w:bookmarkStart w:id="325" w:name="_Toc28095"/>
      <w:r>
        <w:rPr>
          <w:rFonts w:hint="eastAsia" w:ascii="黑体" w:hAnsi="黑体" w:eastAsia="黑体" w:cs="黑体"/>
          <w:color w:val="auto"/>
          <w:spacing w:val="6"/>
          <w:sz w:val="44"/>
          <w:szCs w:val="44"/>
          <w:lang w:val="en-US" w:eastAsia="zh-CN"/>
        </w:rPr>
        <w:t>第七章 存量治理</w:t>
      </w:r>
      <w:bookmarkEnd w:id="322"/>
      <w:bookmarkEnd w:id="323"/>
      <w:bookmarkEnd w:id="324"/>
      <w:bookmarkEnd w:id="325"/>
    </w:p>
    <w:p w14:paraId="21D12A7F">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eastAsia" w:ascii="黑体" w:hAnsi="黑体" w:eastAsia="黑体" w:cs="黑体"/>
          <w:b w:val="0"/>
          <w:bCs w:val="0"/>
          <w:color w:val="auto"/>
          <w:spacing w:val="2"/>
          <w:sz w:val="31"/>
          <w:szCs w:val="31"/>
          <w:lang w:val="en-US" w:eastAsia="zh-CN"/>
        </w:rPr>
      </w:pPr>
      <w:bookmarkStart w:id="326" w:name="_Toc58"/>
      <w:bookmarkStart w:id="327" w:name="_Toc30777"/>
      <w:bookmarkStart w:id="328" w:name="_Toc15121"/>
      <w:bookmarkStart w:id="329" w:name="_Toc13976"/>
      <w:r>
        <w:rPr>
          <w:rFonts w:hint="eastAsia" w:ascii="黑体" w:hAnsi="黑体" w:eastAsia="黑体" w:cs="黑体"/>
          <w:b w:val="0"/>
          <w:bCs w:val="0"/>
          <w:color w:val="auto"/>
          <w:spacing w:val="2"/>
          <w:sz w:val="31"/>
          <w:szCs w:val="31"/>
          <w:lang w:val="en-US" w:eastAsia="zh-CN"/>
        </w:rPr>
        <w:t>一、治理工作目标​</w:t>
      </w:r>
      <w:bookmarkEnd w:id="326"/>
      <w:bookmarkEnd w:id="327"/>
      <w:bookmarkEnd w:id="328"/>
      <w:bookmarkEnd w:id="329"/>
    </w:p>
    <w:p w14:paraId="6484D16F">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330" w:name="_Toc32351"/>
      <w:bookmarkStart w:id="331" w:name="_Toc10556"/>
      <w:bookmarkStart w:id="332" w:name="_Toc8603"/>
      <w:bookmarkStart w:id="333" w:name="_Toc19254"/>
      <w:r>
        <w:rPr>
          <w:rFonts w:hint="eastAsia" w:ascii="楷体_GB2312" w:hAnsi="楷体_GB2312" w:eastAsia="楷体_GB2312" w:cs="楷体_GB2312"/>
          <w:b/>
          <w:bCs/>
          <w:color w:val="auto"/>
          <w:spacing w:val="8"/>
          <w:sz w:val="32"/>
          <w:szCs w:val="32"/>
          <w:lang w:val="en-US" w:eastAsia="zh-CN"/>
        </w:rPr>
        <w:t>（一）基础排查与台账建设目标​</w:t>
      </w:r>
      <w:bookmarkEnd w:id="330"/>
      <w:bookmarkEnd w:id="331"/>
      <w:bookmarkEnd w:id="332"/>
      <w:bookmarkEnd w:id="333"/>
    </w:p>
    <w:p w14:paraId="5F9A96DE">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64" w:firstLineChars="200"/>
        <w:jc w:val="both"/>
        <w:textAlignment w:val="baseline"/>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牵头单位：甘州区住建局、张掖市自然资源局甘州分局；配合单位：甘州区生态环境局、梁家墩镇政府、新墩镇政府、上秦镇政府、长安镇政府。</w:t>
      </w:r>
    </w:p>
    <w:p w14:paraId="03A185B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64" w:firstLineChars="200"/>
        <w:jc w:val="both"/>
        <w:textAlignment w:val="baseline"/>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2026年底前，完成老城区、滨河新区及4个城郊镇（梁家墩镇、新墩镇、上秦镇、长安镇）全域存量建筑垃圾拉网式排查，采用“卫星遥感+现场核查”技术手段，形成1:5000比例尺《甘州区存量建筑垃圾分布图谱》。同步建立“一点一档”电子台账，明确每处堆放点属地责任主体（镇政府/街道办），确保建筑垃圾数量统计误差≤5%（以第三方测绘数据为准），清晰标注成分（混凝土块/砖瓦/渣土等占比）及环境风险等级（按高、中、低三级划分，依据《建筑垃圾环境风险评估技术指南》判定）。​</w:t>
      </w:r>
    </w:p>
    <w:p w14:paraId="4C7BF016">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334" w:name="_Toc10276"/>
      <w:bookmarkStart w:id="335" w:name="_Toc21088"/>
      <w:bookmarkStart w:id="336" w:name="_Toc19814"/>
      <w:bookmarkStart w:id="337" w:name="_Toc2690"/>
      <w:r>
        <w:rPr>
          <w:rFonts w:hint="eastAsia" w:ascii="楷体_GB2312" w:hAnsi="楷体_GB2312" w:eastAsia="楷体_GB2312" w:cs="楷体_GB2312"/>
          <w:b/>
          <w:bCs/>
          <w:color w:val="auto"/>
          <w:spacing w:val="8"/>
          <w:sz w:val="32"/>
          <w:szCs w:val="32"/>
          <w:lang w:val="en-US" w:eastAsia="zh-CN"/>
        </w:rPr>
        <w:t>（二）重点区域整治与设施建设目标​</w:t>
      </w:r>
      <w:bookmarkEnd w:id="334"/>
      <w:bookmarkEnd w:id="335"/>
      <w:bookmarkEnd w:id="336"/>
      <w:bookmarkEnd w:id="337"/>
    </w:p>
    <w:p w14:paraId="3A05400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64" w:firstLineChars="200"/>
        <w:jc w:val="both"/>
        <w:textAlignment w:val="baseline"/>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牵头单位：甘州区住建局；配合单位：张掖市自然资源局甘州分局、生态环境局、交通运输局、相关镇政府。</w:t>
      </w:r>
    </w:p>
    <w:p w14:paraId="16A0160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64"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2026年12月底前，完成生态敏感区存量建筑垃圾清理处置，其中耕地、永久基本农田范围内堆放点实现全部清零，自然保护地、自然灾害风险区内堆放点清理完成率≥95%；完成临近市政管网、交通干线、居民区的23处高风险堆放点（依据排查台账确定）全部清理，高速、高铁、</w:t>
      </w:r>
      <w:r>
        <w:rPr>
          <w:rFonts w:hint="default" w:ascii="仿宋_GB2312" w:hAnsi="仿宋_GB2312" w:eastAsia="仿宋_GB2312" w:cs="仿宋_GB2312"/>
          <w:color w:val="auto"/>
          <w:spacing w:val="6"/>
          <w:sz w:val="32"/>
          <w:szCs w:val="32"/>
          <w:lang w:val="en-US" w:eastAsia="zh-CN"/>
        </w:rPr>
        <w:t>国道</w:t>
      </w:r>
      <w:r>
        <w:rPr>
          <w:rFonts w:hint="eastAsia" w:ascii="仿宋_GB2312" w:hAnsi="仿宋_GB2312" w:eastAsia="仿宋_GB2312" w:cs="仿宋_GB2312"/>
          <w:color w:val="auto"/>
          <w:spacing w:val="6"/>
          <w:sz w:val="32"/>
          <w:szCs w:val="32"/>
          <w:lang w:val="en-US" w:eastAsia="zh-CN"/>
        </w:rPr>
        <w:t>和</w:t>
      </w:r>
      <w:r>
        <w:rPr>
          <w:rFonts w:hint="default" w:ascii="仿宋_GB2312" w:hAnsi="仿宋_GB2312" w:eastAsia="仿宋_GB2312" w:cs="仿宋_GB2312"/>
          <w:color w:val="auto"/>
          <w:spacing w:val="6"/>
          <w:sz w:val="32"/>
          <w:szCs w:val="32"/>
          <w:lang w:val="en-US" w:eastAsia="zh-CN"/>
        </w:rPr>
        <w:t>省道</w:t>
      </w:r>
      <w:r>
        <w:rPr>
          <w:rFonts w:hint="eastAsia" w:ascii="仿宋_GB2312" w:hAnsi="仿宋_GB2312" w:eastAsia="仿宋_GB2312" w:cs="仿宋_GB2312"/>
          <w:color w:val="auto"/>
          <w:spacing w:val="6"/>
          <w:sz w:val="32"/>
          <w:szCs w:val="32"/>
          <w:lang w:val="en-US" w:eastAsia="zh-CN"/>
        </w:rPr>
        <w:t>沿线等重点区域治理完成率达100%。同时，依靠垃圾中转站和垃圾处理项目建设，在乌江镇、龙渠乡各建成1个临时中转贮存点（单个占地面积≥0.05公顷，配备防尘抑尘设施）。​</w:t>
      </w:r>
    </w:p>
    <w:p w14:paraId="79E12354">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default" w:ascii="黑体" w:hAnsi="黑体" w:eastAsia="黑体" w:cs="黑体"/>
          <w:b w:val="0"/>
          <w:bCs w:val="0"/>
          <w:color w:val="auto"/>
          <w:spacing w:val="2"/>
          <w:sz w:val="31"/>
          <w:szCs w:val="31"/>
          <w:lang w:val="en-US" w:eastAsia="zh-CN"/>
        </w:rPr>
      </w:pPr>
      <w:bookmarkStart w:id="338" w:name="_Toc29592"/>
      <w:bookmarkStart w:id="339" w:name="_Toc29581"/>
      <w:bookmarkStart w:id="340" w:name="_Toc11161"/>
      <w:bookmarkStart w:id="341" w:name="_Toc18471"/>
      <w:r>
        <w:rPr>
          <w:rFonts w:hint="eastAsia" w:ascii="黑体" w:hAnsi="黑体" w:eastAsia="黑体" w:cs="黑体"/>
          <w:b w:val="0"/>
          <w:bCs w:val="0"/>
          <w:color w:val="auto"/>
          <w:spacing w:val="2"/>
          <w:sz w:val="31"/>
          <w:szCs w:val="31"/>
          <w:lang w:val="en-US" w:eastAsia="zh-CN"/>
        </w:rPr>
        <w:t>二、</w:t>
      </w:r>
      <w:r>
        <w:rPr>
          <w:rFonts w:hint="default" w:ascii="黑体" w:hAnsi="黑体" w:eastAsia="黑体" w:cs="黑体"/>
          <w:b w:val="0"/>
          <w:bCs w:val="0"/>
          <w:color w:val="auto"/>
          <w:spacing w:val="2"/>
          <w:sz w:val="31"/>
          <w:szCs w:val="31"/>
          <w:lang w:val="en-US" w:eastAsia="zh-CN"/>
        </w:rPr>
        <w:t>治理工作重点​</w:t>
      </w:r>
      <w:bookmarkEnd w:id="338"/>
      <w:bookmarkEnd w:id="339"/>
      <w:bookmarkEnd w:id="340"/>
      <w:bookmarkEnd w:id="341"/>
    </w:p>
    <w:p w14:paraId="5316A31F">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default" w:ascii="楷体_GB2312" w:hAnsi="楷体_GB2312" w:eastAsia="楷体_GB2312" w:cs="楷体_GB2312"/>
          <w:b/>
          <w:bCs/>
          <w:color w:val="auto"/>
          <w:spacing w:val="8"/>
          <w:sz w:val="32"/>
          <w:szCs w:val="32"/>
          <w:lang w:val="en-US" w:eastAsia="zh-CN"/>
        </w:rPr>
      </w:pPr>
      <w:bookmarkStart w:id="342" w:name="_Toc12905"/>
      <w:bookmarkStart w:id="343" w:name="_Toc8516"/>
      <w:bookmarkStart w:id="344" w:name="_Toc6794"/>
      <w:bookmarkStart w:id="345" w:name="_Toc8218"/>
      <w:r>
        <w:rPr>
          <w:rFonts w:hint="eastAsia" w:ascii="楷体_GB2312" w:hAnsi="楷体_GB2312" w:eastAsia="楷体_GB2312" w:cs="楷体_GB2312"/>
          <w:b/>
          <w:bCs/>
          <w:color w:val="auto"/>
          <w:spacing w:val="8"/>
          <w:sz w:val="32"/>
          <w:szCs w:val="32"/>
          <w:lang w:val="en-US" w:eastAsia="zh-CN"/>
        </w:rPr>
        <w:t>（一）</w:t>
      </w:r>
      <w:r>
        <w:rPr>
          <w:rFonts w:hint="default" w:ascii="楷体_GB2312" w:hAnsi="楷体_GB2312" w:eastAsia="楷体_GB2312" w:cs="楷体_GB2312"/>
          <w:b/>
          <w:bCs/>
          <w:color w:val="auto"/>
          <w:spacing w:val="8"/>
          <w:sz w:val="32"/>
          <w:szCs w:val="32"/>
          <w:lang w:val="en-US" w:eastAsia="zh-CN"/>
        </w:rPr>
        <w:t>重点区域管控​​</w:t>
      </w:r>
      <w:bookmarkEnd w:id="342"/>
      <w:bookmarkEnd w:id="343"/>
      <w:bookmarkEnd w:id="344"/>
      <w:bookmarkEnd w:id="345"/>
    </w:p>
    <w:p w14:paraId="4193B1F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67"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b/>
          <w:bCs/>
          <w:color w:val="auto"/>
          <w:spacing w:val="6"/>
          <w:sz w:val="32"/>
          <w:szCs w:val="32"/>
          <w:lang w:val="en-US" w:eastAsia="zh-CN"/>
        </w:rPr>
        <w:t>1.</w:t>
      </w:r>
      <w:r>
        <w:rPr>
          <w:rFonts w:hint="default" w:ascii="仿宋_GB2312" w:hAnsi="仿宋_GB2312" w:eastAsia="仿宋_GB2312" w:cs="仿宋_GB2312"/>
          <w:b/>
          <w:bCs/>
          <w:color w:val="auto"/>
          <w:spacing w:val="6"/>
          <w:sz w:val="32"/>
          <w:szCs w:val="32"/>
          <w:lang w:val="en-US" w:eastAsia="zh-CN"/>
        </w:rPr>
        <w:t>城市建成区</w:t>
      </w:r>
      <w:r>
        <w:rPr>
          <w:rFonts w:hint="default" w:ascii="仿宋_GB2312" w:hAnsi="仿宋_GB2312" w:eastAsia="仿宋_GB2312" w:cs="仿宋_GB2312"/>
          <w:color w:val="auto"/>
          <w:spacing w:val="6"/>
          <w:sz w:val="32"/>
          <w:szCs w:val="32"/>
          <w:lang w:val="en-US" w:eastAsia="zh-CN"/>
        </w:rPr>
        <w:t>：重点治理老城区拆迁遗留地块、滨河新区未开发闲置地块的存量堆放点，优先保障城市更新项目用地需求。</w:t>
      </w:r>
    </w:p>
    <w:p w14:paraId="28B5A0A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67"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b/>
          <w:bCs/>
          <w:color w:val="auto"/>
          <w:spacing w:val="6"/>
          <w:sz w:val="32"/>
          <w:szCs w:val="32"/>
          <w:lang w:val="en-US" w:eastAsia="zh-CN"/>
        </w:rPr>
        <w:t>2.</w:t>
      </w:r>
      <w:r>
        <w:rPr>
          <w:rFonts w:hint="default" w:ascii="仿宋_GB2312" w:hAnsi="仿宋_GB2312" w:eastAsia="仿宋_GB2312" w:cs="仿宋_GB2312"/>
          <w:b/>
          <w:bCs/>
          <w:color w:val="auto"/>
          <w:spacing w:val="6"/>
          <w:sz w:val="32"/>
          <w:szCs w:val="32"/>
          <w:lang w:val="en-US" w:eastAsia="zh-CN"/>
        </w:rPr>
        <w:t>城郊结合部</w:t>
      </w:r>
      <w:r>
        <w:rPr>
          <w:rFonts w:hint="default" w:ascii="仿宋_GB2312" w:hAnsi="仿宋_GB2312" w:eastAsia="仿宋_GB2312" w:cs="仿宋_GB2312"/>
          <w:color w:val="auto"/>
          <w:spacing w:val="6"/>
          <w:sz w:val="32"/>
          <w:szCs w:val="32"/>
          <w:lang w:val="en-US" w:eastAsia="zh-CN"/>
        </w:rPr>
        <w:t>：聚焦梁家墩镇、新墩镇</w:t>
      </w:r>
      <w:r>
        <w:rPr>
          <w:rFonts w:hint="eastAsia" w:ascii="仿宋_GB2312" w:hAnsi="仿宋_GB2312" w:eastAsia="仿宋_GB2312" w:cs="仿宋_GB2312"/>
          <w:color w:val="auto"/>
          <w:spacing w:val="6"/>
          <w:sz w:val="32"/>
          <w:szCs w:val="32"/>
          <w:lang w:val="en-US" w:eastAsia="zh-CN"/>
        </w:rPr>
        <w:t>、上秦镇和长安镇</w:t>
      </w:r>
      <w:r>
        <w:rPr>
          <w:rFonts w:hint="default" w:ascii="仿宋_GB2312" w:hAnsi="仿宋_GB2312" w:eastAsia="仿宋_GB2312" w:cs="仿宋_GB2312"/>
          <w:color w:val="auto"/>
          <w:spacing w:val="6"/>
          <w:sz w:val="32"/>
          <w:szCs w:val="32"/>
          <w:lang w:val="en-US" w:eastAsia="zh-CN"/>
        </w:rPr>
        <w:t>等与城区接壤村组，清理</w:t>
      </w:r>
      <w:r>
        <w:rPr>
          <w:rFonts w:hint="eastAsia" w:ascii="仿宋_GB2312" w:hAnsi="仿宋_GB2312" w:eastAsia="仿宋_GB2312" w:cs="仿宋_GB2312"/>
          <w:color w:val="auto"/>
          <w:spacing w:val="6"/>
          <w:sz w:val="32"/>
          <w:szCs w:val="32"/>
          <w:lang w:val="en-US" w:eastAsia="zh-CN"/>
        </w:rPr>
        <w:t>高速、高铁、</w:t>
      </w:r>
      <w:r>
        <w:rPr>
          <w:rFonts w:hint="default" w:ascii="仿宋_GB2312" w:hAnsi="仿宋_GB2312" w:eastAsia="仿宋_GB2312" w:cs="仿宋_GB2312"/>
          <w:color w:val="auto"/>
          <w:spacing w:val="6"/>
          <w:sz w:val="32"/>
          <w:szCs w:val="32"/>
          <w:lang w:val="en-US" w:eastAsia="zh-CN"/>
        </w:rPr>
        <w:t>国道</w:t>
      </w:r>
      <w:r>
        <w:rPr>
          <w:rFonts w:hint="eastAsia" w:ascii="仿宋_GB2312" w:hAnsi="仿宋_GB2312" w:eastAsia="仿宋_GB2312" w:cs="仿宋_GB2312"/>
          <w:color w:val="auto"/>
          <w:spacing w:val="6"/>
          <w:sz w:val="32"/>
          <w:szCs w:val="32"/>
          <w:lang w:val="en-US" w:eastAsia="zh-CN"/>
        </w:rPr>
        <w:t>和</w:t>
      </w:r>
      <w:r>
        <w:rPr>
          <w:rFonts w:hint="default" w:ascii="仿宋_GB2312" w:hAnsi="仿宋_GB2312" w:eastAsia="仿宋_GB2312" w:cs="仿宋_GB2312"/>
          <w:color w:val="auto"/>
          <w:spacing w:val="6"/>
          <w:sz w:val="32"/>
          <w:szCs w:val="32"/>
          <w:lang w:val="en-US" w:eastAsia="zh-CN"/>
        </w:rPr>
        <w:t>省道沿线500米范围内的存量建筑垃圾，消除视觉污染及道路安全隐患。</w:t>
      </w:r>
    </w:p>
    <w:p w14:paraId="7D40790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67"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b/>
          <w:bCs/>
          <w:color w:val="auto"/>
          <w:spacing w:val="6"/>
          <w:sz w:val="32"/>
          <w:szCs w:val="32"/>
          <w:lang w:val="en-US" w:eastAsia="zh-CN"/>
        </w:rPr>
        <w:t>3.</w:t>
      </w:r>
      <w:r>
        <w:rPr>
          <w:rFonts w:hint="default" w:ascii="仿宋_GB2312" w:hAnsi="仿宋_GB2312" w:eastAsia="仿宋_GB2312" w:cs="仿宋_GB2312"/>
          <w:b/>
          <w:bCs/>
          <w:color w:val="auto"/>
          <w:spacing w:val="6"/>
          <w:sz w:val="32"/>
          <w:szCs w:val="32"/>
          <w:lang w:val="en-US" w:eastAsia="zh-CN"/>
        </w:rPr>
        <w:t>生态管控区</w:t>
      </w:r>
      <w:r>
        <w:rPr>
          <w:rFonts w:hint="default" w:ascii="仿宋_GB2312" w:hAnsi="仿宋_GB2312" w:eastAsia="仿宋_GB2312" w:cs="仿宋_GB2312"/>
          <w:color w:val="auto"/>
          <w:spacing w:val="6"/>
          <w:sz w:val="32"/>
          <w:szCs w:val="32"/>
          <w:lang w:val="en-US" w:eastAsia="zh-CN"/>
        </w:rPr>
        <w:t>：对黑河湿地自然保护区外围保护地带等区域，依法拆除违规贮存设施，将建筑垃圾全部转运至指定处置场所，同步开展原场地土壤修复及植被恢复。​</w:t>
      </w:r>
    </w:p>
    <w:p w14:paraId="2A51EA69">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default" w:ascii="楷体_GB2312" w:hAnsi="楷体_GB2312" w:eastAsia="楷体_GB2312" w:cs="楷体_GB2312"/>
          <w:b/>
          <w:bCs/>
          <w:color w:val="auto"/>
          <w:spacing w:val="8"/>
          <w:sz w:val="32"/>
          <w:szCs w:val="32"/>
          <w:lang w:val="en-US" w:eastAsia="zh-CN"/>
        </w:rPr>
      </w:pPr>
      <w:bookmarkStart w:id="346" w:name="_Toc28485"/>
      <w:bookmarkStart w:id="347" w:name="_Toc635"/>
      <w:bookmarkStart w:id="348" w:name="_Toc22103"/>
      <w:bookmarkStart w:id="349" w:name="_Toc2222"/>
      <w:r>
        <w:rPr>
          <w:rFonts w:hint="eastAsia" w:ascii="楷体_GB2312" w:hAnsi="楷体_GB2312" w:eastAsia="楷体_GB2312" w:cs="楷体_GB2312"/>
          <w:b/>
          <w:bCs/>
          <w:color w:val="auto"/>
          <w:spacing w:val="8"/>
          <w:sz w:val="32"/>
          <w:szCs w:val="32"/>
          <w:lang w:val="en-US" w:eastAsia="zh-CN"/>
        </w:rPr>
        <w:t>（二）</w:t>
      </w:r>
      <w:r>
        <w:rPr>
          <w:rFonts w:hint="default" w:ascii="楷体_GB2312" w:hAnsi="楷体_GB2312" w:eastAsia="楷体_GB2312" w:cs="楷体_GB2312"/>
          <w:b/>
          <w:bCs/>
          <w:color w:val="auto"/>
          <w:spacing w:val="8"/>
          <w:sz w:val="32"/>
          <w:szCs w:val="32"/>
          <w:lang w:val="en-US" w:eastAsia="zh-CN"/>
        </w:rPr>
        <w:t>风险点位分级处置​</w:t>
      </w:r>
      <w:bookmarkEnd w:id="346"/>
      <w:bookmarkEnd w:id="347"/>
      <w:bookmarkEnd w:id="348"/>
      <w:bookmarkEnd w:id="349"/>
    </w:p>
    <w:p w14:paraId="42312C05">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64"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default" w:ascii="仿宋_GB2312" w:hAnsi="仿宋_GB2312" w:eastAsia="仿宋_GB2312" w:cs="仿宋_GB2312"/>
          <w:color w:val="auto"/>
          <w:spacing w:val="6"/>
          <w:sz w:val="32"/>
          <w:szCs w:val="32"/>
          <w:lang w:val="en-US" w:eastAsia="zh-CN"/>
        </w:rPr>
        <w:t>根据环境风险等级实施“红黄绿”三色管控：​</w:t>
      </w:r>
    </w:p>
    <w:p w14:paraId="0EFBFB6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67"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b/>
          <w:bCs/>
          <w:color w:val="auto"/>
          <w:spacing w:val="6"/>
          <w:sz w:val="32"/>
          <w:szCs w:val="32"/>
          <w:lang w:val="en-US" w:eastAsia="zh-CN"/>
        </w:rPr>
        <w:t>1.</w:t>
      </w:r>
      <w:r>
        <w:rPr>
          <w:rFonts w:hint="default" w:ascii="仿宋_GB2312" w:hAnsi="仿宋_GB2312" w:eastAsia="仿宋_GB2312" w:cs="仿宋_GB2312"/>
          <w:b/>
          <w:bCs/>
          <w:color w:val="auto"/>
          <w:spacing w:val="6"/>
          <w:sz w:val="32"/>
          <w:szCs w:val="32"/>
          <w:lang w:val="en-US" w:eastAsia="zh-CN"/>
        </w:rPr>
        <w:t>红色风险点</w:t>
      </w:r>
      <w:r>
        <w:rPr>
          <w:rFonts w:hint="default" w:ascii="仿宋_GB2312" w:hAnsi="仿宋_GB2312" w:eastAsia="仿宋_GB2312" w:cs="仿宋_GB2312"/>
          <w:color w:val="auto"/>
          <w:spacing w:val="6"/>
          <w:sz w:val="32"/>
          <w:szCs w:val="32"/>
          <w:lang w:val="en-US" w:eastAsia="zh-CN"/>
        </w:rPr>
        <w:t>：主要为占用永久基本农田、存在滑坡坍塌隐患的堆放点，由</w:t>
      </w:r>
      <w:r>
        <w:rPr>
          <w:rFonts w:hint="eastAsia" w:ascii="仿宋_GB2312" w:hAnsi="仿宋_GB2312" w:eastAsia="仿宋_GB2312" w:cs="仿宋_GB2312"/>
          <w:color w:val="auto"/>
          <w:spacing w:val="6"/>
          <w:sz w:val="32"/>
          <w:szCs w:val="32"/>
          <w:lang w:val="en-US" w:eastAsia="zh-CN"/>
        </w:rPr>
        <w:t>市自然资源局甘州分局</w:t>
      </w:r>
      <w:r>
        <w:rPr>
          <w:rFonts w:hint="default" w:ascii="仿宋_GB2312" w:hAnsi="仿宋_GB2312" w:eastAsia="仿宋_GB2312" w:cs="仿宋_GB2312"/>
          <w:color w:val="auto"/>
          <w:spacing w:val="6"/>
          <w:sz w:val="32"/>
          <w:szCs w:val="32"/>
          <w:lang w:val="en-US" w:eastAsia="zh-CN"/>
        </w:rPr>
        <w:t>、</w:t>
      </w:r>
      <w:r>
        <w:rPr>
          <w:rFonts w:hint="eastAsia" w:ascii="仿宋_GB2312" w:hAnsi="仿宋_GB2312" w:eastAsia="仿宋_GB2312" w:cs="仿宋_GB2312"/>
          <w:color w:val="auto"/>
          <w:spacing w:val="6"/>
          <w:sz w:val="32"/>
          <w:szCs w:val="32"/>
          <w:lang w:val="en-US" w:eastAsia="zh-CN"/>
        </w:rPr>
        <w:t>区</w:t>
      </w:r>
      <w:r>
        <w:rPr>
          <w:rFonts w:hint="default" w:ascii="仿宋_GB2312" w:hAnsi="仿宋_GB2312" w:eastAsia="仿宋_GB2312" w:cs="仿宋_GB2312"/>
          <w:color w:val="auto"/>
          <w:spacing w:val="6"/>
          <w:sz w:val="32"/>
          <w:szCs w:val="32"/>
          <w:lang w:val="en-US" w:eastAsia="zh-CN"/>
        </w:rPr>
        <w:t>应急管理局牵头，2025年底前完成全部清理，同步组织地质灾害隐患排查。​</w:t>
      </w:r>
    </w:p>
    <w:p w14:paraId="6C52D2B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67"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b/>
          <w:bCs/>
          <w:color w:val="auto"/>
          <w:spacing w:val="6"/>
          <w:sz w:val="32"/>
          <w:szCs w:val="32"/>
          <w:lang w:val="en-US" w:eastAsia="zh-CN"/>
        </w:rPr>
        <w:t>2.</w:t>
      </w:r>
      <w:r>
        <w:rPr>
          <w:rFonts w:hint="default" w:ascii="仿宋_GB2312" w:hAnsi="仿宋_GB2312" w:eastAsia="仿宋_GB2312" w:cs="仿宋_GB2312"/>
          <w:b/>
          <w:bCs/>
          <w:color w:val="auto"/>
          <w:spacing w:val="6"/>
          <w:sz w:val="32"/>
          <w:szCs w:val="32"/>
          <w:lang w:val="en-US" w:eastAsia="zh-CN"/>
        </w:rPr>
        <w:t>黄色风险点</w:t>
      </w:r>
      <w:r>
        <w:rPr>
          <w:rFonts w:hint="default" w:ascii="仿宋_GB2312" w:hAnsi="仿宋_GB2312" w:eastAsia="仿宋_GB2312" w:cs="仿宋_GB2312"/>
          <w:color w:val="auto"/>
          <w:spacing w:val="6"/>
          <w:sz w:val="32"/>
          <w:szCs w:val="32"/>
          <w:lang w:val="en-US" w:eastAsia="zh-CN"/>
        </w:rPr>
        <w:t>：主要为产生扬尘污染、影响周边居民生活的堆放点，由区住建局、</w:t>
      </w:r>
      <w:r>
        <w:rPr>
          <w:rFonts w:hint="eastAsia" w:ascii="仿宋_GB2312" w:hAnsi="仿宋_GB2312" w:eastAsia="仿宋_GB2312" w:cs="仿宋_GB2312"/>
          <w:color w:val="auto"/>
          <w:spacing w:val="6"/>
          <w:sz w:val="32"/>
          <w:szCs w:val="32"/>
          <w:lang w:val="en-US" w:eastAsia="zh-CN"/>
        </w:rPr>
        <w:t>区</w:t>
      </w:r>
      <w:r>
        <w:rPr>
          <w:rFonts w:hint="default" w:ascii="仿宋_GB2312" w:hAnsi="仿宋_GB2312" w:eastAsia="仿宋_GB2312" w:cs="仿宋_GB2312"/>
          <w:color w:val="auto"/>
          <w:spacing w:val="6"/>
          <w:sz w:val="32"/>
          <w:szCs w:val="32"/>
          <w:lang w:val="en-US" w:eastAsia="zh-CN"/>
        </w:rPr>
        <w:t>生态环境分局负责，2026年6月底前完成覆盖防尘网、设置围挡及清运处置。​</w:t>
      </w:r>
    </w:p>
    <w:p w14:paraId="4D0078FC">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67"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b/>
          <w:bCs/>
          <w:color w:val="auto"/>
          <w:spacing w:val="6"/>
          <w:sz w:val="32"/>
          <w:szCs w:val="32"/>
          <w:lang w:val="en-US" w:eastAsia="zh-CN"/>
        </w:rPr>
        <w:t>3.</w:t>
      </w:r>
      <w:r>
        <w:rPr>
          <w:rFonts w:hint="default" w:ascii="仿宋_GB2312" w:hAnsi="仿宋_GB2312" w:eastAsia="仿宋_GB2312" w:cs="仿宋_GB2312"/>
          <w:b/>
          <w:bCs/>
          <w:color w:val="auto"/>
          <w:spacing w:val="6"/>
          <w:sz w:val="32"/>
          <w:szCs w:val="32"/>
          <w:lang w:val="en-US" w:eastAsia="zh-CN"/>
        </w:rPr>
        <w:t>绿色风险点</w:t>
      </w:r>
      <w:r>
        <w:rPr>
          <w:rFonts w:hint="default" w:ascii="仿宋_GB2312" w:hAnsi="仿宋_GB2312" w:eastAsia="仿宋_GB2312" w:cs="仿宋_GB2312"/>
          <w:color w:val="auto"/>
          <w:spacing w:val="6"/>
          <w:sz w:val="32"/>
          <w:szCs w:val="32"/>
          <w:lang w:val="en-US" w:eastAsia="zh-CN"/>
        </w:rPr>
        <w:t>：主要为远离居民区、无明显环境影响的堆放点，纳入常态化监管，结合周边建设项目需求优先资源化利用，2027年底前完成处置。​</w:t>
      </w:r>
    </w:p>
    <w:p w14:paraId="50C1DCAF">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default" w:ascii="黑体" w:hAnsi="黑体" w:eastAsia="黑体" w:cs="黑体"/>
          <w:b w:val="0"/>
          <w:bCs w:val="0"/>
          <w:color w:val="auto"/>
          <w:spacing w:val="2"/>
          <w:sz w:val="31"/>
          <w:szCs w:val="31"/>
          <w:lang w:val="en-US" w:eastAsia="zh-CN"/>
        </w:rPr>
      </w:pPr>
      <w:bookmarkStart w:id="350" w:name="_Toc10991"/>
      <w:bookmarkStart w:id="351" w:name="_Toc2754"/>
      <w:bookmarkStart w:id="352" w:name="_Toc5148"/>
      <w:bookmarkStart w:id="353" w:name="_Toc24499"/>
      <w:r>
        <w:rPr>
          <w:rFonts w:hint="eastAsia" w:ascii="黑体" w:hAnsi="黑体" w:eastAsia="黑体" w:cs="黑体"/>
          <w:b w:val="0"/>
          <w:bCs w:val="0"/>
          <w:color w:val="auto"/>
          <w:spacing w:val="2"/>
          <w:sz w:val="31"/>
          <w:szCs w:val="31"/>
          <w:lang w:val="en-US" w:eastAsia="zh-CN"/>
        </w:rPr>
        <w:t>三、</w:t>
      </w:r>
      <w:r>
        <w:rPr>
          <w:rFonts w:hint="default" w:ascii="黑体" w:hAnsi="黑体" w:eastAsia="黑体" w:cs="黑体"/>
          <w:b w:val="0"/>
          <w:bCs w:val="0"/>
          <w:color w:val="auto"/>
          <w:spacing w:val="2"/>
          <w:sz w:val="31"/>
          <w:szCs w:val="31"/>
          <w:lang w:val="en-US" w:eastAsia="zh-CN"/>
        </w:rPr>
        <w:t>治理工作方式​</w:t>
      </w:r>
      <w:bookmarkEnd w:id="350"/>
      <w:bookmarkEnd w:id="351"/>
      <w:bookmarkEnd w:id="352"/>
      <w:bookmarkEnd w:id="353"/>
    </w:p>
    <w:p w14:paraId="262CB2A3">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default" w:ascii="楷体_GB2312" w:hAnsi="楷体_GB2312" w:eastAsia="楷体_GB2312" w:cs="楷体_GB2312"/>
          <w:b/>
          <w:bCs/>
          <w:color w:val="auto"/>
          <w:spacing w:val="8"/>
          <w:sz w:val="32"/>
          <w:szCs w:val="32"/>
          <w:lang w:val="en-US" w:eastAsia="zh-CN"/>
        </w:rPr>
      </w:pPr>
      <w:bookmarkStart w:id="354" w:name="_Toc18176"/>
      <w:bookmarkStart w:id="355" w:name="_Toc24899"/>
      <w:bookmarkStart w:id="356" w:name="_Toc2968"/>
      <w:bookmarkStart w:id="357" w:name="_Toc26737"/>
      <w:r>
        <w:rPr>
          <w:rFonts w:hint="eastAsia" w:ascii="楷体_GB2312" w:hAnsi="楷体_GB2312" w:eastAsia="楷体_GB2312" w:cs="楷体_GB2312"/>
          <w:b/>
          <w:bCs/>
          <w:color w:val="auto"/>
          <w:spacing w:val="8"/>
          <w:sz w:val="32"/>
          <w:szCs w:val="32"/>
          <w:lang w:val="en-US" w:eastAsia="zh-CN"/>
        </w:rPr>
        <w:t>（一）</w:t>
      </w:r>
      <w:r>
        <w:rPr>
          <w:rFonts w:hint="default" w:ascii="楷体_GB2312" w:hAnsi="楷体_GB2312" w:eastAsia="楷体_GB2312" w:cs="楷体_GB2312"/>
          <w:b/>
          <w:bCs/>
          <w:color w:val="auto"/>
          <w:spacing w:val="8"/>
          <w:sz w:val="32"/>
          <w:szCs w:val="32"/>
          <w:lang w:val="en-US" w:eastAsia="zh-CN"/>
        </w:rPr>
        <w:t>排查评估机制​</w:t>
      </w:r>
      <w:bookmarkEnd w:id="354"/>
      <w:bookmarkEnd w:id="355"/>
      <w:bookmarkEnd w:id="356"/>
      <w:bookmarkEnd w:id="357"/>
    </w:p>
    <w:p w14:paraId="155A6BE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67"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b/>
          <w:bCs/>
          <w:color w:val="auto"/>
          <w:spacing w:val="6"/>
          <w:sz w:val="32"/>
          <w:szCs w:val="32"/>
          <w:lang w:val="en-US" w:eastAsia="zh-CN"/>
        </w:rPr>
        <w:t>1.</w:t>
      </w:r>
      <w:r>
        <w:rPr>
          <w:rFonts w:hint="default" w:ascii="仿宋_GB2312" w:hAnsi="仿宋_GB2312" w:eastAsia="仿宋_GB2312" w:cs="仿宋_GB2312"/>
          <w:b/>
          <w:bCs/>
          <w:color w:val="auto"/>
          <w:spacing w:val="6"/>
          <w:sz w:val="32"/>
          <w:szCs w:val="32"/>
          <w:lang w:val="en-US" w:eastAsia="zh-CN"/>
        </w:rPr>
        <w:t>部门联动</w:t>
      </w:r>
      <w:r>
        <w:rPr>
          <w:rFonts w:hint="default" w:ascii="仿宋_GB2312" w:hAnsi="仿宋_GB2312" w:eastAsia="仿宋_GB2312" w:cs="仿宋_GB2312"/>
          <w:color w:val="auto"/>
          <w:spacing w:val="6"/>
          <w:sz w:val="32"/>
          <w:szCs w:val="32"/>
          <w:lang w:val="en-US" w:eastAsia="zh-CN"/>
        </w:rPr>
        <w:t>：由区住建局牵头，联合</w:t>
      </w:r>
      <w:r>
        <w:rPr>
          <w:rFonts w:hint="eastAsia" w:ascii="仿宋_GB2312" w:hAnsi="仿宋_GB2312" w:eastAsia="仿宋_GB2312" w:cs="仿宋_GB2312"/>
          <w:color w:val="auto"/>
          <w:spacing w:val="6"/>
          <w:sz w:val="32"/>
          <w:szCs w:val="32"/>
          <w:lang w:val="en-US" w:eastAsia="zh-CN"/>
        </w:rPr>
        <w:t>市自然资源局甘州分局</w:t>
      </w:r>
      <w:r>
        <w:rPr>
          <w:rFonts w:hint="default" w:ascii="仿宋_GB2312" w:hAnsi="仿宋_GB2312" w:eastAsia="仿宋_GB2312" w:cs="仿宋_GB2312"/>
          <w:color w:val="auto"/>
          <w:spacing w:val="6"/>
          <w:sz w:val="32"/>
          <w:szCs w:val="32"/>
          <w:lang w:val="en-US" w:eastAsia="zh-CN"/>
        </w:rPr>
        <w:t>、</w:t>
      </w:r>
      <w:r>
        <w:rPr>
          <w:rFonts w:hint="eastAsia" w:ascii="仿宋_GB2312" w:hAnsi="仿宋_GB2312" w:eastAsia="仿宋_GB2312" w:cs="仿宋_GB2312"/>
          <w:color w:val="auto"/>
          <w:spacing w:val="6"/>
          <w:sz w:val="32"/>
          <w:szCs w:val="32"/>
          <w:lang w:val="en-US" w:eastAsia="zh-CN"/>
        </w:rPr>
        <w:t>区</w:t>
      </w:r>
      <w:r>
        <w:rPr>
          <w:rFonts w:hint="default" w:ascii="仿宋_GB2312" w:hAnsi="仿宋_GB2312" w:eastAsia="仿宋_GB2312" w:cs="仿宋_GB2312"/>
          <w:color w:val="auto"/>
          <w:spacing w:val="6"/>
          <w:sz w:val="32"/>
          <w:szCs w:val="32"/>
          <w:lang w:val="en-US" w:eastAsia="zh-CN"/>
        </w:rPr>
        <w:t>生态环境分局、</w:t>
      </w:r>
      <w:r>
        <w:rPr>
          <w:rFonts w:hint="eastAsia" w:ascii="仿宋_GB2312" w:hAnsi="仿宋_GB2312" w:eastAsia="仿宋_GB2312" w:cs="仿宋_GB2312"/>
          <w:color w:val="auto"/>
          <w:spacing w:val="6"/>
          <w:sz w:val="32"/>
          <w:szCs w:val="32"/>
          <w:lang w:val="en-US" w:eastAsia="zh-CN"/>
        </w:rPr>
        <w:t>区</w:t>
      </w:r>
      <w:r>
        <w:rPr>
          <w:rFonts w:hint="default" w:ascii="仿宋_GB2312" w:hAnsi="仿宋_GB2312" w:eastAsia="仿宋_GB2312" w:cs="仿宋_GB2312"/>
          <w:color w:val="auto"/>
          <w:spacing w:val="6"/>
          <w:sz w:val="32"/>
          <w:szCs w:val="32"/>
          <w:lang w:val="en-US" w:eastAsia="zh-CN"/>
        </w:rPr>
        <w:t>交通运输局及相关乡镇（街道），组建专项排查工作组，明确分工及时间节点。​</w:t>
      </w:r>
    </w:p>
    <w:p w14:paraId="0CE73C39">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67"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b/>
          <w:bCs/>
          <w:color w:val="auto"/>
          <w:spacing w:val="6"/>
          <w:sz w:val="32"/>
          <w:szCs w:val="32"/>
          <w:lang w:val="en-US" w:eastAsia="zh-CN"/>
        </w:rPr>
        <w:t>2.</w:t>
      </w:r>
      <w:r>
        <w:rPr>
          <w:rFonts w:hint="default" w:ascii="仿宋_GB2312" w:hAnsi="仿宋_GB2312" w:eastAsia="仿宋_GB2312" w:cs="仿宋_GB2312"/>
          <w:b/>
          <w:bCs/>
          <w:color w:val="auto"/>
          <w:spacing w:val="6"/>
          <w:sz w:val="32"/>
          <w:szCs w:val="32"/>
          <w:lang w:val="en-US" w:eastAsia="zh-CN"/>
        </w:rPr>
        <w:t>技术支撑</w:t>
      </w:r>
      <w:r>
        <w:rPr>
          <w:rFonts w:hint="default" w:ascii="仿宋_GB2312" w:hAnsi="仿宋_GB2312" w:eastAsia="仿宋_GB2312" w:cs="仿宋_GB2312"/>
          <w:color w:val="auto"/>
          <w:spacing w:val="6"/>
          <w:sz w:val="32"/>
          <w:szCs w:val="32"/>
          <w:lang w:val="en-US" w:eastAsia="zh-CN"/>
        </w:rPr>
        <w:t>：采用“卫星遥感+无人机航拍+现场核查”模式，对存量堆放点进行定位、测量，委托第三方机构开展成分分析及环境风险评估，形成《甘州区存量建筑垃圾排查评估报告》。​</w:t>
      </w:r>
    </w:p>
    <w:p w14:paraId="0EB8C752">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67"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b/>
          <w:bCs/>
          <w:color w:val="auto"/>
          <w:spacing w:val="6"/>
          <w:sz w:val="32"/>
          <w:szCs w:val="32"/>
          <w:lang w:val="en-US" w:eastAsia="zh-CN"/>
        </w:rPr>
        <w:t>3.</w:t>
      </w:r>
      <w:r>
        <w:rPr>
          <w:rFonts w:hint="default" w:ascii="仿宋_GB2312" w:hAnsi="仿宋_GB2312" w:eastAsia="仿宋_GB2312" w:cs="仿宋_GB2312"/>
          <w:b/>
          <w:bCs/>
          <w:color w:val="auto"/>
          <w:spacing w:val="6"/>
          <w:sz w:val="32"/>
          <w:szCs w:val="32"/>
          <w:lang w:val="en-US" w:eastAsia="zh-CN"/>
        </w:rPr>
        <w:t>台账管理</w:t>
      </w:r>
      <w:r>
        <w:rPr>
          <w:rFonts w:hint="default" w:ascii="仿宋_GB2312" w:hAnsi="仿宋_GB2312" w:eastAsia="仿宋_GB2312" w:cs="仿宋_GB2312"/>
          <w:color w:val="auto"/>
          <w:spacing w:val="6"/>
          <w:sz w:val="32"/>
          <w:szCs w:val="32"/>
          <w:lang w:val="en-US" w:eastAsia="zh-CN"/>
        </w:rPr>
        <w:t>：建立电子台账系统，包含堆放点位置、面积、数量、成分、责任主体、治理措施及进度等信息，每月更新并向社会公开（涉及保密信息除外）。​</w:t>
      </w:r>
    </w:p>
    <w:p w14:paraId="22AA8E20">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default" w:ascii="楷体_GB2312" w:hAnsi="楷体_GB2312" w:eastAsia="楷体_GB2312" w:cs="楷体_GB2312"/>
          <w:b/>
          <w:bCs/>
          <w:color w:val="auto"/>
          <w:spacing w:val="8"/>
          <w:sz w:val="32"/>
          <w:szCs w:val="32"/>
          <w:lang w:val="en-US" w:eastAsia="zh-CN"/>
        </w:rPr>
      </w:pPr>
      <w:bookmarkStart w:id="358" w:name="_Toc23545"/>
      <w:bookmarkStart w:id="359" w:name="_Toc18633"/>
      <w:bookmarkStart w:id="360" w:name="_Toc18392"/>
      <w:bookmarkStart w:id="361" w:name="_Toc18579"/>
      <w:r>
        <w:rPr>
          <w:rFonts w:hint="eastAsia" w:ascii="楷体_GB2312" w:hAnsi="楷体_GB2312" w:eastAsia="楷体_GB2312" w:cs="楷体_GB2312"/>
          <w:b/>
          <w:bCs/>
          <w:color w:val="auto"/>
          <w:spacing w:val="8"/>
          <w:sz w:val="32"/>
          <w:szCs w:val="32"/>
          <w:lang w:val="en-US" w:eastAsia="zh-CN"/>
        </w:rPr>
        <w:t>（二）</w:t>
      </w:r>
      <w:r>
        <w:rPr>
          <w:rFonts w:hint="default" w:ascii="楷体_GB2312" w:hAnsi="楷体_GB2312" w:eastAsia="楷体_GB2312" w:cs="楷体_GB2312"/>
          <w:b/>
          <w:bCs/>
          <w:color w:val="auto"/>
          <w:spacing w:val="8"/>
          <w:sz w:val="32"/>
          <w:szCs w:val="32"/>
          <w:lang w:val="en-US" w:eastAsia="zh-CN"/>
        </w:rPr>
        <w:t>分类处置路径​</w:t>
      </w:r>
      <w:bookmarkEnd w:id="358"/>
      <w:bookmarkEnd w:id="359"/>
      <w:bookmarkEnd w:id="360"/>
      <w:bookmarkEnd w:id="361"/>
    </w:p>
    <w:p w14:paraId="07282CEA">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67"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b/>
          <w:bCs/>
          <w:color w:val="auto"/>
          <w:spacing w:val="6"/>
          <w:sz w:val="32"/>
          <w:szCs w:val="32"/>
          <w:lang w:val="en-US" w:eastAsia="zh-CN"/>
        </w:rPr>
        <w:t>1.</w:t>
      </w:r>
      <w:r>
        <w:rPr>
          <w:rFonts w:hint="default" w:ascii="仿宋_GB2312" w:hAnsi="仿宋_GB2312" w:eastAsia="仿宋_GB2312" w:cs="仿宋_GB2312"/>
          <w:b/>
          <w:bCs/>
          <w:color w:val="auto"/>
          <w:spacing w:val="6"/>
          <w:sz w:val="32"/>
          <w:szCs w:val="32"/>
          <w:lang w:val="en-US" w:eastAsia="zh-CN"/>
        </w:rPr>
        <w:t>资源化利用</w:t>
      </w:r>
      <w:r>
        <w:rPr>
          <w:rFonts w:hint="default" w:ascii="仿宋_GB2312" w:hAnsi="仿宋_GB2312" w:eastAsia="仿宋_GB2312" w:cs="仿宋_GB2312"/>
          <w:color w:val="auto"/>
          <w:spacing w:val="6"/>
          <w:sz w:val="32"/>
          <w:szCs w:val="32"/>
          <w:lang w:val="en-US" w:eastAsia="zh-CN"/>
        </w:rPr>
        <w:t>：对废混凝土、废砖石等，由具备资质的企业加工为再生骨料，用于市政道路基层、基坑回填等；对废钢筋、废金属等，由合规回收企业回收再利用，2026年底前实现可回收成分利用率达90%以上。​</w:t>
      </w:r>
    </w:p>
    <w:p w14:paraId="263635FB">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67"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b/>
          <w:bCs/>
          <w:color w:val="auto"/>
          <w:spacing w:val="6"/>
          <w:sz w:val="32"/>
          <w:szCs w:val="32"/>
          <w:lang w:val="en-US" w:eastAsia="zh-CN"/>
        </w:rPr>
        <w:t>2.</w:t>
      </w:r>
      <w:r>
        <w:rPr>
          <w:rFonts w:hint="default" w:ascii="仿宋_GB2312" w:hAnsi="仿宋_GB2312" w:eastAsia="仿宋_GB2312" w:cs="仿宋_GB2312"/>
          <w:b/>
          <w:bCs/>
          <w:color w:val="auto"/>
          <w:spacing w:val="6"/>
          <w:sz w:val="32"/>
          <w:szCs w:val="32"/>
          <w:lang w:val="en-US" w:eastAsia="zh-CN"/>
        </w:rPr>
        <w:t>无害化处置</w:t>
      </w:r>
      <w:r>
        <w:rPr>
          <w:rFonts w:hint="default" w:ascii="仿宋_GB2312" w:hAnsi="仿宋_GB2312" w:eastAsia="仿宋_GB2312" w:cs="仿宋_GB2312"/>
          <w:color w:val="auto"/>
          <w:spacing w:val="6"/>
          <w:sz w:val="32"/>
          <w:szCs w:val="32"/>
          <w:lang w:val="en-US" w:eastAsia="zh-CN"/>
        </w:rPr>
        <w:t>：对无法资源化利用的建筑垃圾，转运至甘州区</w:t>
      </w:r>
      <w:r>
        <w:rPr>
          <w:rFonts w:hint="eastAsia" w:ascii="仿宋_GB2312" w:hAnsi="仿宋_GB2312" w:eastAsia="仿宋_GB2312" w:cs="仿宋_GB2312"/>
          <w:color w:val="auto"/>
          <w:spacing w:val="6"/>
          <w:sz w:val="32"/>
          <w:szCs w:val="32"/>
          <w:lang w:val="en-US" w:eastAsia="zh-CN"/>
        </w:rPr>
        <w:t>城市</w:t>
      </w:r>
      <w:r>
        <w:rPr>
          <w:rFonts w:hint="default" w:ascii="仿宋_GB2312" w:hAnsi="仿宋_GB2312" w:eastAsia="仿宋_GB2312" w:cs="仿宋_GB2312"/>
          <w:color w:val="auto"/>
          <w:spacing w:val="6"/>
          <w:sz w:val="32"/>
          <w:szCs w:val="32"/>
          <w:lang w:val="en-US" w:eastAsia="zh-CN"/>
        </w:rPr>
        <w:t>垃圾</w:t>
      </w:r>
      <w:r>
        <w:rPr>
          <w:rFonts w:hint="eastAsia" w:ascii="仿宋_GB2312" w:hAnsi="仿宋_GB2312" w:eastAsia="仿宋_GB2312" w:cs="仿宋_GB2312"/>
          <w:color w:val="auto"/>
          <w:spacing w:val="6"/>
          <w:sz w:val="32"/>
          <w:szCs w:val="32"/>
          <w:lang w:val="en-US" w:eastAsia="zh-CN"/>
        </w:rPr>
        <w:t>处理厂</w:t>
      </w:r>
      <w:r>
        <w:rPr>
          <w:rFonts w:hint="default" w:ascii="仿宋_GB2312" w:hAnsi="仿宋_GB2312" w:eastAsia="仿宋_GB2312" w:cs="仿宋_GB2312"/>
          <w:color w:val="auto"/>
          <w:spacing w:val="6"/>
          <w:sz w:val="32"/>
          <w:szCs w:val="32"/>
          <w:lang w:val="en-US" w:eastAsia="zh-CN"/>
        </w:rPr>
        <w:t>（符合规划要求的建筑垃圾填埋区），严格按照《建筑垃圾处理技术标准》（CJJ/T134）实施填埋，防止二次污染。​​</w:t>
      </w:r>
    </w:p>
    <w:p w14:paraId="56276AE0">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default" w:ascii="楷体_GB2312" w:hAnsi="楷体_GB2312" w:eastAsia="楷体_GB2312" w:cs="楷体_GB2312"/>
          <w:b/>
          <w:bCs/>
          <w:color w:val="auto"/>
          <w:spacing w:val="8"/>
          <w:sz w:val="32"/>
          <w:szCs w:val="32"/>
          <w:lang w:val="en-US" w:eastAsia="zh-CN"/>
        </w:rPr>
      </w:pPr>
      <w:bookmarkStart w:id="362" w:name="_Toc21127"/>
      <w:bookmarkStart w:id="363" w:name="_Toc14752"/>
      <w:bookmarkStart w:id="364" w:name="_Toc3092"/>
      <w:bookmarkStart w:id="365" w:name="_Toc17848"/>
      <w:r>
        <w:rPr>
          <w:rFonts w:hint="eastAsia" w:ascii="楷体_GB2312" w:hAnsi="楷体_GB2312" w:eastAsia="楷体_GB2312" w:cs="楷体_GB2312"/>
          <w:b/>
          <w:bCs/>
          <w:color w:val="auto"/>
          <w:spacing w:val="8"/>
          <w:sz w:val="32"/>
          <w:szCs w:val="32"/>
          <w:lang w:val="en-US" w:eastAsia="zh-CN"/>
        </w:rPr>
        <w:t>（三）</w:t>
      </w:r>
      <w:r>
        <w:rPr>
          <w:rFonts w:hint="default" w:ascii="楷体_GB2312" w:hAnsi="楷体_GB2312" w:eastAsia="楷体_GB2312" w:cs="楷体_GB2312"/>
          <w:b/>
          <w:bCs/>
          <w:color w:val="auto"/>
          <w:spacing w:val="8"/>
          <w:sz w:val="32"/>
          <w:szCs w:val="32"/>
          <w:lang w:val="en-US" w:eastAsia="zh-CN"/>
        </w:rPr>
        <w:t>监管执法措施​</w:t>
      </w:r>
      <w:bookmarkEnd w:id="362"/>
      <w:bookmarkEnd w:id="363"/>
      <w:bookmarkEnd w:id="364"/>
      <w:bookmarkEnd w:id="365"/>
    </w:p>
    <w:p w14:paraId="48F1BF86">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67"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b/>
          <w:bCs/>
          <w:color w:val="auto"/>
          <w:spacing w:val="6"/>
          <w:sz w:val="32"/>
          <w:szCs w:val="32"/>
          <w:lang w:val="en-US" w:eastAsia="zh-CN"/>
        </w:rPr>
        <w:t>1.</w:t>
      </w:r>
      <w:r>
        <w:rPr>
          <w:rFonts w:hint="default" w:ascii="仿宋_GB2312" w:hAnsi="仿宋_GB2312" w:eastAsia="仿宋_GB2312" w:cs="仿宋_GB2312"/>
          <w:b/>
          <w:bCs/>
          <w:color w:val="auto"/>
          <w:spacing w:val="6"/>
          <w:sz w:val="32"/>
          <w:szCs w:val="32"/>
          <w:lang w:val="en-US" w:eastAsia="zh-CN"/>
        </w:rPr>
        <w:t>日常监管</w:t>
      </w:r>
      <w:r>
        <w:rPr>
          <w:rFonts w:hint="default" w:ascii="仿宋_GB2312" w:hAnsi="仿宋_GB2312" w:eastAsia="仿宋_GB2312" w:cs="仿宋_GB2312"/>
          <w:color w:val="auto"/>
          <w:spacing w:val="6"/>
          <w:sz w:val="32"/>
          <w:szCs w:val="32"/>
          <w:lang w:val="en-US" w:eastAsia="zh-CN"/>
        </w:rPr>
        <w:t>：建立“乡镇（街道）巡查+部门抽查”机制，每月开展不少于1次巡查，重点检查治理进度、扬尘防控及转运规范，发现问题限期整改。​</w:t>
      </w:r>
    </w:p>
    <w:p w14:paraId="005D7B24">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67"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b/>
          <w:bCs/>
          <w:color w:val="auto"/>
          <w:spacing w:val="6"/>
          <w:sz w:val="32"/>
          <w:szCs w:val="32"/>
          <w:lang w:val="en-US" w:eastAsia="zh-CN"/>
        </w:rPr>
        <w:t>2.</w:t>
      </w:r>
      <w:r>
        <w:rPr>
          <w:rFonts w:hint="default" w:ascii="仿宋_GB2312" w:hAnsi="仿宋_GB2312" w:eastAsia="仿宋_GB2312" w:cs="仿宋_GB2312"/>
          <w:b/>
          <w:bCs/>
          <w:color w:val="auto"/>
          <w:spacing w:val="6"/>
          <w:sz w:val="32"/>
          <w:szCs w:val="32"/>
          <w:lang w:val="en-US" w:eastAsia="zh-CN"/>
        </w:rPr>
        <w:t>执法检查</w:t>
      </w:r>
      <w:r>
        <w:rPr>
          <w:rFonts w:hint="default" w:ascii="仿宋_GB2312" w:hAnsi="仿宋_GB2312" w:eastAsia="仿宋_GB2312" w:cs="仿宋_GB2312"/>
          <w:color w:val="auto"/>
          <w:spacing w:val="6"/>
          <w:sz w:val="32"/>
          <w:szCs w:val="32"/>
          <w:lang w:val="en-US" w:eastAsia="zh-CN"/>
        </w:rPr>
        <w:t>：对擅自倾倒、堆放存量建筑垃圾的单位或个人，依据《中华人民共和国固体废物污染环境防治法》《</w:t>
      </w:r>
      <w:r>
        <w:rPr>
          <w:rFonts w:hint="eastAsia" w:ascii="仿宋_GB2312" w:hAnsi="仿宋_GB2312" w:eastAsia="仿宋_GB2312" w:cs="仿宋_GB2312"/>
          <w:color w:val="auto"/>
          <w:spacing w:val="6"/>
          <w:sz w:val="32"/>
          <w:szCs w:val="32"/>
          <w:lang w:val="en-US" w:eastAsia="zh-CN"/>
        </w:rPr>
        <w:t>城市建筑垃圾管理规定</w:t>
      </w:r>
      <w:r>
        <w:rPr>
          <w:rFonts w:hint="default" w:ascii="仿宋_GB2312" w:hAnsi="仿宋_GB2312" w:eastAsia="仿宋_GB2312" w:cs="仿宋_GB2312"/>
          <w:color w:val="auto"/>
          <w:spacing w:val="6"/>
          <w:sz w:val="32"/>
          <w:szCs w:val="32"/>
          <w:lang w:val="en-US" w:eastAsia="zh-CN"/>
        </w:rPr>
        <w:t>》等法规，依法予以处罚；涉嫌犯罪的，移送司法机关处理。​</w:t>
      </w:r>
    </w:p>
    <w:p w14:paraId="54BC1F9F">
      <w:pPr>
        <w:keepNext w:val="0"/>
        <w:keepLines w:val="0"/>
        <w:pageBreakBefore w:val="0"/>
        <w:widowControl w:val="0"/>
        <w:numPr>
          <w:ilvl w:val="0"/>
          <w:numId w:val="0"/>
        </w:numPr>
        <w:kinsoku/>
        <w:wordWrap/>
        <w:overflowPunct/>
        <w:topLinePunct w:val="0"/>
        <w:autoSpaceDE w:val="0"/>
        <w:autoSpaceDN w:val="0"/>
        <w:bidi w:val="0"/>
        <w:adjustRightInd w:val="0"/>
        <w:snapToGrid w:val="0"/>
        <w:spacing w:line="560" w:lineRule="exact"/>
        <w:ind w:right="0" w:rightChars="0" w:firstLine="667"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b/>
          <w:bCs/>
          <w:color w:val="auto"/>
          <w:spacing w:val="6"/>
          <w:sz w:val="32"/>
          <w:szCs w:val="32"/>
          <w:lang w:val="en-US" w:eastAsia="zh-CN"/>
        </w:rPr>
        <w:t>3.</w:t>
      </w:r>
      <w:r>
        <w:rPr>
          <w:rFonts w:hint="default" w:ascii="仿宋_GB2312" w:hAnsi="仿宋_GB2312" w:eastAsia="仿宋_GB2312" w:cs="仿宋_GB2312"/>
          <w:b/>
          <w:bCs/>
          <w:color w:val="auto"/>
          <w:spacing w:val="6"/>
          <w:sz w:val="32"/>
          <w:szCs w:val="32"/>
          <w:lang w:val="en-US" w:eastAsia="zh-CN"/>
        </w:rPr>
        <w:t>信用监管</w:t>
      </w:r>
      <w:r>
        <w:rPr>
          <w:rFonts w:hint="default" w:ascii="仿宋_GB2312" w:hAnsi="仿宋_GB2312" w:eastAsia="仿宋_GB2312" w:cs="仿宋_GB2312"/>
          <w:color w:val="auto"/>
          <w:spacing w:val="6"/>
          <w:sz w:val="32"/>
          <w:szCs w:val="32"/>
          <w:lang w:val="en-US" w:eastAsia="zh-CN"/>
        </w:rPr>
        <w:t>：将建筑垃圾处置企业及相关责任单位的违法违规行为纳入信用评价体系，实行“黑名单”制度，限制其参与政府投资项目投标，实施联合惩戒。​</w:t>
      </w:r>
    </w:p>
    <w:p w14:paraId="007527B1">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44" w:firstLineChars="200"/>
        <w:jc w:val="both"/>
        <w:textAlignment w:val="baseline"/>
        <w:rPr>
          <w:rFonts w:hint="eastAsia" w:ascii="黑体" w:hAnsi="黑体" w:eastAsia="黑体" w:cs="黑体"/>
          <w:color w:val="auto"/>
          <w:spacing w:val="6"/>
          <w:sz w:val="31"/>
          <w:szCs w:val="31"/>
        </w:rPr>
        <w:sectPr>
          <w:headerReference r:id="rId13" w:type="default"/>
          <w:pgSz w:w="23811" w:h="16838" w:orient="landscape"/>
          <w:pgMar w:top="1800" w:right="1440" w:bottom="1800" w:left="1440" w:header="851" w:footer="992" w:gutter="0"/>
          <w:pgNumType w:fmt="numberInDash"/>
          <w:cols w:space="2106" w:num="2"/>
          <w:docGrid w:type="lines" w:linePitch="312" w:charSpace="0"/>
        </w:sectPr>
      </w:pPr>
    </w:p>
    <w:p w14:paraId="5F18A102">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313" w:afterLines="100" w:line="560" w:lineRule="exact"/>
        <w:ind w:right="0" w:rightChars="0"/>
        <w:jc w:val="center"/>
        <w:textAlignment w:val="baseline"/>
        <w:outlineLvl w:val="0"/>
        <w:rPr>
          <w:rFonts w:hint="eastAsia" w:ascii="黑体" w:hAnsi="黑体" w:eastAsia="黑体" w:cs="黑体"/>
          <w:color w:val="auto"/>
          <w:spacing w:val="6"/>
          <w:sz w:val="31"/>
          <w:szCs w:val="31"/>
        </w:rPr>
      </w:pPr>
      <w:bookmarkStart w:id="366" w:name="_Toc21308"/>
      <w:bookmarkStart w:id="367" w:name="_Toc18538"/>
      <w:bookmarkStart w:id="368" w:name="_Toc13237"/>
      <w:bookmarkStart w:id="369" w:name="_Toc31517"/>
      <w:r>
        <w:rPr>
          <w:rFonts w:hint="eastAsia" w:ascii="黑体" w:hAnsi="黑体" w:eastAsia="黑体" w:cs="黑体"/>
          <w:color w:val="auto"/>
          <w:spacing w:val="7"/>
          <w:sz w:val="44"/>
          <w:szCs w:val="44"/>
          <w:lang w:val="en-US" w:eastAsia="zh-CN"/>
        </w:rPr>
        <w:t>第八章 环境影响与污染防治</w:t>
      </w:r>
      <w:r>
        <w:rPr>
          <w:rFonts w:hint="eastAsia" w:ascii="黑体" w:hAnsi="黑体" w:eastAsia="黑体" w:cs="黑体"/>
          <w:color w:val="auto"/>
          <w:spacing w:val="7"/>
          <w:sz w:val="31"/>
          <w:szCs w:val="31"/>
          <w:lang w:val="en-US" w:eastAsia="zh-CN"/>
        </w:rPr>
        <w:t>​</w:t>
      </w:r>
      <w:bookmarkEnd w:id="366"/>
      <w:bookmarkEnd w:id="367"/>
      <w:bookmarkEnd w:id="368"/>
      <w:bookmarkEnd w:id="369"/>
    </w:p>
    <w:p w14:paraId="67D1B7D7">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eastAsia" w:ascii="黑体" w:hAnsi="黑体" w:eastAsia="黑体" w:cs="黑体"/>
          <w:b w:val="0"/>
          <w:bCs w:val="0"/>
          <w:color w:val="auto"/>
          <w:spacing w:val="2"/>
          <w:sz w:val="31"/>
          <w:szCs w:val="31"/>
          <w:lang w:val="en-US" w:eastAsia="zh-CN"/>
        </w:rPr>
      </w:pPr>
      <w:bookmarkStart w:id="370" w:name="_Toc10036"/>
      <w:bookmarkStart w:id="371" w:name="_Toc22256"/>
      <w:bookmarkStart w:id="372" w:name="_Toc4527"/>
      <w:bookmarkStart w:id="373" w:name="_Toc11603"/>
      <w:r>
        <w:rPr>
          <w:rFonts w:hint="eastAsia" w:ascii="黑体" w:hAnsi="黑体" w:eastAsia="黑体" w:cs="黑体"/>
          <w:b w:val="0"/>
          <w:bCs w:val="0"/>
          <w:color w:val="auto"/>
          <w:spacing w:val="2"/>
          <w:sz w:val="31"/>
          <w:szCs w:val="31"/>
          <w:lang w:val="en-US" w:eastAsia="zh-CN"/>
        </w:rPr>
        <w:t>一、总体要求​</w:t>
      </w:r>
      <w:bookmarkEnd w:id="370"/>
      <w:bookmarkEnd w:id="371"/>
      <w:bookmarkEnd w:id="372"/>
      <w:bookmarkEnd w:id="373"/>
    </w:p>
    <w:p w14:paraId="77B3335E">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坚持问题导向、系统治理，将推进建筑垃圾污染防治工作作为生态文明建设、城市精细化管理和基层治理的重要抓手，坚持生态优先，建立健全建筑垃圾处置体系，完善建筑垃圾全过程管理制度，规范建筑垃圾产生、收集、贮存、运输、利用、处置行为，推进综合利用，加强建筑垃圾的全流程精细化管理，防止环境污染，强化建筑垃圾收集、贮存、利用、处置等设施的选址和实施过程中对生态、大气、水和声环境的影响及污染控制与治理，制定切实可行的预防或减轻实施过程以及实施后不良环境影响的对策和措施，不断提升城乡环境质量和人民生活质量，建设资源节约型、环境友好型社会​</w:t>
      </w:r>
    </w:p>
    <w:p w14:paraId="517E71C3">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eastAsia" w:ascii="黑体" w:hAnsi="黑体" w:eastAsia="黑体" w:cs="黑体"/>
          <w:b w:val="0"/>
          <w:bCs w:val="0"/>
          <w:color w:val="auto"/>
          <w:spacing w:val="2"/>
          <w:sz w:val="31"/>
          <w:szCs w:val="31"/>
          <w:lang w:val="en-US" w:eastAsia="zh-CN"/>
        </w:rPr>
      </w:pPr>
      <w:bookmarkStart w:id="374" w:name="_Toc2053"/>
      <w:bookmarkStart w:id="375" w:name="_Toc3356"/>
      <w:bookmarkStart w:id="376" w:name="_Toc7204"/>
      <w:bookmarkStart w:id="377" w:name="_Toc2962"/>
      <w:r>
        <w:rPr>
          <w:rFonts w:hint="eastAsia" w:ascii="黑体" w:hAnsi="黑体" w:eastAsia="黑体" w:cs="黑体"/>
          <w:b w:val="0"/>
          <w:bCs w:val="0"/>
          <w:color w:val="auto"/>
          <w:spacing w:val="2"/>
          <w:sz w:val="31"/>
          <w:szCs w:val="31"/>
          <w:lang w:val="en-US" w:eastAsia="zh-CN"/>
        </w:rPr>
        <w:t>二、环境影响分析​</w:t>
      </w:r>
      <w:bookmarkEnd w:id="374"/>
      <w:bookmarkEnd w:id="375"/>
      <w:bookmarkEnd w:id="376"/>
      <w:bookmarkEnd w:id="377"/>
    </w:p>
    <w:p w14:paraId="3894F5CB">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378" w:name="_Toc22881"/>
      <w:bookmarkStart w:id="379" w:name="_Toc30405"/>
      <w:bookmarkStart w:id="380" w:name="_Toc13446"/>
      <w:bookmarkStart w:id="381" w:name="_Toc25436"/>
      <w:r>
        <w:rPr>
          <w:rFonts w:hint="eastAsia" w:ascii="楷体_GB2312" w:hAnsi="楷体_GB2312" w:eastAsia="楷体_GB2312" w:cs="楷体_GB2312"/>
          <w:b/>
          <w:bCs/>
          <w:color w:val="auto"/>
          <w:spacing w:val="8"/>
          <w:sz w:val="32"/>
          <w:szCs w:val="32"/>
          <w:lang w:val="en-US" w:eastAsia="zh-CN"/>
        </w:rPr>
        <w:t>（一）施工期环境影响​</w:t>
      </w:r>
      <w:bookmarkEnd w:id="378"/>
      <w:bookmarkEnd w:id="379"/>
      <w:bookmarkEnd w:id="380"/>
      <w:bookmarkEnd w:id="381"/>
    </w:p>
    <w:p w14:paraId="2233E1CD">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7"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b/>
          <w:bCs/>
          <w:color w:val="auto"/>
          <w:spacing w:val="6"/>
          <w:sz w:val="32"/>
          <w:szCs w:val="32"/>
          <w:lang w:val="en-US" w:eastAsia="zh-CN"/>
        </w:rPr>
        <w:t>1.</w:t>
      </w:r>
      <w:r>
        <w:rPr>
          <w:rFonts w:hint="eastAsia" w:ascii="仿宋_GB2312" w:hAnsi="仿宋_GB2312" w:eastAsia="仿宋_GB2312" w:cs="仿宋_GB2312"/>
          <w:b/>
          <w:bCs/>
          <w:color w:val="auto"/>
          <w:spacing w:val="6"/>
          <w:sz w:val="32"/>
          <w:szCs w:val="32"/>
        </w:rPr>
        <w:t>大气环境影响</w:t>
      </w:r>
      <w:r>
        <w:rPr>
          <w:rFonts w:hint="eastAsia" w:ascii="仿宋_GB2312" w:hAnsi="仿宋_GB2312" w:eastAsia="仿宋_GB2312" w:cs="仿宋_GB2312"/>
          <w:color w:val="auto"/>
          <w:spacing w:val="6"/>
          <w:sz w:val="32"/>
          <w:szCs w:val="32"/>
        </w:rPr>
        <w:t>：建筑垃圾运输、装卸及处理设施建设施工过程中，易产生扬尘污染。土方开挖、物料堆放等作业环节，在风力作用下，大量颗粒物逸散至空气中，增加空气中可吸入颗粒物（PM10）、细颗粒物（PM2.5）浓度，影响区域大气环境质量，尤其对周边居民聚集区、学校等环境敏感点影响较大。长期暴露易诱发呼吸道疾病，增加心血管健康风险。​</w:t>
      </w:r>
    </w:p>
    <w:p w14:paraId="2F6C8AB4">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7"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b/>
          <w:bCs/>
          <w:color w:val="auto"/>
          <w:spacing w:val="6"/>
          <w:sz w:val="32"/>
          <w:szCs w:val="32"/>
          <w:lang w:val="en-US" w:eastAsia="zh-CN"/>
        </w:rPr>
        <w:t>2.水环境影响</w:t>
      </w:r>
      <w:r>
        <w:rPr>
          <w:rFonts w:hint="eastAsia" w:ascii="仿宋_GB2312" w:hAnsi="仿宋_GB2312" w:eastAsia="仿宋_GB2312" w:cs="仿宋_GB2312"/>
          <w:color w:val="auto"/>
          <w:spacing w:val="6"/>
          <w:sz w:val="32"/>
          <w:szCs w:val="32"/>
        </w:rPr>
        <w:t>：施工废水若未经有效处理直接排放，其中含有的泥沙、油污及少量建筑材料残留化学物质，可能会污染地表水及土壤，进而影响周边水体水质。如排入雨水管网，可能造成管网堵塞；渗入地下，可能污染地下水，改变地下水化学组分，影响地下水水质。人体接触或饮用受污染水体，会损害肝肾功能，增加患病概率。​</w:t>
      </w:r>
    </w:p>
    <w:p w14:paraId="7FE5F5F3">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7"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b/>
          <w:bCs/>
          <w:color w:val="auto"/>
          <w:spacing w:val="6"/>
          <w:sz w:val="32"/>
          <w:szCs w:val="32"/>
          <w:lang w:val="en-US" w:eastAsia="zh-CN"/>
        </w:rPr>
        <w:t>3.声环境影响</w:t>
      </w:r>
      <w:r>
        <w:rPr>
          <w:rFonts w:hint="eastAsia" w:ascii="仿宋_GB2312" w:hAnsi="仿宋_GB2312" w:eastAsia="仿宋_GB2312" w:cs="仿宋_GB2312"/>
          <w:color w:val="auto"/>
          <w:spacing w:val="6"/>
          <w:sz w:val="32"/>
          <w:szCs w:val="32"/>
        </w:rPr>
        <w:t>：施工机械设备（挖掘机、装载机、破碎机等）运行以及运输车辆往来会产生高强度噪声，噪声值可达70-100分贝，对施工场地周边一定范围内的居民生活、学校教学、医院医疗等活动产生干扰，长期暴露在高噪声环境下，可能对人群听力造成损害。​</w:t>
      </w:r>
    </w:p>
    <w:p w14:paraId="28AB52C1">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7"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b/>
          <w:bCs/>
          <w:color w:val="auto"/>
          <w:spacing w:val="6"/>
          <w:sz w:val="32"/>
          <w:szCs w:val="32"/>
          <w:lang w:val="en-US" w:eastAsia="zh-CN"/>
        </w:rPr>
        <w:t>4.生态环境影响</w:t>
      </w:r>
      <w:r>
        <w:rPr>
          <w:rFonts w:hint="eastAsia" w:ascii="仿宋_GB2312" w:hAnsi="仿宋_GB2312" w:eastAsia="仿宋_GB2312" w:cs="仿宋_GB2312"/>
          <w:color w:val="auto"/>
          <w:spacing w:val="6"/>
          <w:sz w:val="32"/>
          <w:szCs w:val="32"/>
        </w:rPr>
        <w:t>：建筑垃圾消纳场、资源化利用设施等建设可能涉及土地平整、植被清除等活动，改变原有地形地貌，破坏地表植被，造成水土流失，影响区域生态系统的稳定性和生物多样性。尤其在生态敏感区域周边施工，可能对珍稀动植物栖息地、生态廊道等造成破坏</w:t>
      </w:r>
      <w:r>
        <w:rPr>
          <w:rFonts w:hint="eastAsia" w:ascii="仿宋_GB2312" w:hAnsi="仿宋_GB2312" w:eastAsia="仿宋_GB2312" w:cs="仿宋_GB2312"/>
          <w:color w:val="auto"/>
          <w:spacing w:val="6"/>
          <w:sz w:val="32"/>
          <w:szCs w:val="32"/>
          <w:lang w:eastAsia="zh-CN"/>
        </w:rPr>
        <w:t>，</w:t>
      </w:r>
      <w:r>
        <w:rPr>
          <w:rFonts w:hint="eastAsia" w:ascii="仿宋_GB2312" w:hAnsi="仿宋_GB2312" w:eastAsia="仿宋_GB2312" w:cs="仿宋_GB2312"/>
          <w:color w:val="auto"/>
          <w:spacing w:val="6"/>
          <w:sz w:val="32"/>
          <w:szCs w:val="32"/>
          <w:lang w:val="en-US" w:eastAsia="zh-CN"/>
        </w:rPr>
        <w:t>并引发</w:t>
      </w:r>
      <w:r>
        <w:rPr>
          <w:rFonts w:hint="eastAsia" w:ascii="仿宋_GB2312" w:hAnsi="仿宋_GB2312" w:eastAsia="仿宋_GB2312" w:cs="仿宋_GB2312"/>
          <w:color w:val="auto"/>
          <w:spacing w:val="6"/>
          <w:sz w:val="32"/>
          <w:szCs w:val="32"/>
        </w:rPr>
        <w:t>过敏与传染病风险。​</w:t>
      </w:r>
    </w:p>
    <w:p w14:paraId="31539A61">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382" w:name="_Toc9190"/>
      <w:bookmarkStart w:id="383" w:name="_Toc30071"/>
      <w:bookmarkStart w:id="384" w:name="_Toc19918"/>
      <w:bookmarkStart w:id="385" w:name="_Toc27643"/>
      <w:r>
        <w:rPr>
          <w:rFonts w:hint="eastAsia" w:ascii="楷体_GB2312" w:hAnsi="楷体_GB2312" w:eastAsia="楷体_GB2312" w:cs="楷体_GB2312"/>
          <w:b/>
          <w:bCs/>
          <w:color w:val="auto"/>
          <w:spacing w:val="8"/>
          <w:sz w:val="32"/>
          <w:szCs w:val="32"/>
          <w:lang w:val="en-US" w:eastAsia="zh-CN"/>
        </w:rPr>
        <w:t>（二）运营期环境影响​</w:t>
      </w:r>
      <w:bookmarkEnd w:id="382"/>
      <w:bookmarkEnd w:id="383"/>
      <w:bookmarkEnd w:id="384"/>
      <w:bookmarkEnd w:id="385"/>
    </w:p>
    <w:p w14:paraId="6E9099E0">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7"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b/>
          <w:bCs/>
          <w:color w:val="auto"/>
          <w:spacing w:val="6"/>
          <w:sz w:val="32"/>
          <w:szCs w:val="32"/>
          <w:lang w:val="en-US" w:eastAsia="zh-CN"/>
        </w:rPr>
        <w:t>1.大气环境影响</w:t>
      </w:r>
      <w:r>
        <w:rPr>
          <w:rFonts w:hint="eastAsia" w:ascii="仿宋_GB2312" w:hAnsi="仿宋_GB2312" w:eastAsia="仿宋_GB2312" w:cs="仿宋_GB2312"/>
          <w:color w:val="auto"/>
          <w:spacing w:val="6"/>
          <w:sz w:val="32"/>
          <w:szCs w:val="32"/>
        </w:rPr>
        <w:t>：建筑垃圾在堆放、分拣、破碎、筛分等处理过程中，会持续产生扬尘，粉状物料的装卸、运输环节也易造成粉尘无组织排放。此外，若资源化利用过程涉及焚烧、热解等工艺，可能产生二氧化硫、氮氧化物、颗粒物、二噁英等污染物，对区域大气环境质量产生长期不利影响，增加雾霾天气发生频率，危害居民身体健康。</w:t>
      </w:r>
    </w:p>
    <w:p w14:paraId="38139002">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7"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b/>
          <w:bCs/>
          <w:color w:val="auto"/>
          <w:spacing w:val="6"/>
          <w:sz w:val="32"/>
          <w:szCs w:val="32"/>
          <w:lang w:val="en-US" w:eastAsia="zh-CN"/>
        </w:rPr>
        <w:t>2.水环境影响</w:t>
      </w:r>
      <w:r>
        <w:rPr>
          <w:rFonts w:hint="eastAsia" w:ascii="仿宋_GB2312" w:hAnsi="仿宋_GB2312" w:eastAsia="仿宋_GB2312" w:cs="仿宋_GB2312"/>
          <w:color w:val="auto"/>
          <w:spacing w:val="6"/>
          <w:sz w:val="32"/>
          <w:szCs w:val="32"/>
        </w:rPr>
        <w:t>：建筑垃圾处理过程中产生的冲洗废水、车辆清洗废水等，含有大量悬浮物、重金属离子（铅、汞、镉等）以及油类物质。若处理不当，废水直接排入地表水体，将导致水体浑浊、富营养化，重金属在水体中积累，通过食物链传递，对水生生物和人体健康构成威胁。同时，废水渗入地下，可能污染地下水，导致地下水水质恶化。</w:t>
      </w:r>
    </w:p>
    <w:p w14:paraId="1C7EF87F">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7"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b/>
          <w:bCs/>
          <w:color w:val="auto"/>
          <w:spacing w:val="6"/>
          <w:sz w:val="32"/>
          <w:szCs w:val="32"/>
          <w:lang w:val="en-US" w:eastAsia="zh-CN"/>
        </w:rPr>
        <w:t>3.声环境影响</w:t>
      </w:r>
      <w:r>
        <w:rPr>
          <w:rFonts w:hint="eastAsia" w:ascii="仿宋_GB2312" w:hAnsi="仿宋_GB2312" w:eastAsia="仿宋_GB2312" w:cs="仿宋_GB2312"/>
          <w:color w:val="auto"/>
          <w:spacing w:val="6"/>
          <w:sz w:val="32"/>
          <w:szCs w:val="32"/>
        </w:rPr>
        <w:t>：建筑垃圾处理设备（破碎机、筛分机、压缩机等）运行时产生的机械噪声，以及运输车辆往来形成的交通噪声，会对周边声环境造成持续影响。尽管</w:t>
      </w:r>
      <w:r>
        <w:rPr>
          <w:rFonts w:hint="eastAsia" w:ascii="仿宋_GB2312" w:hAnsi="仿宋_GB2312" w:eastAsia="仿宋_GB2312" w:cs="仿宋_GB2312"/>
          <w:color w:val="auto"/>
          <w:spacing w:val="6"/>
          <w:sz w:val="32"/>
          <w:szCs w:val="32"/>
          <w:lang w:val="en-US" w:eastAsia="zh-CN"/>
        </w:rPr>
        <w:t>处理设施所在的</w:t>
      </w:r>
      <w:r>
        <w:rPr>
          <w:rFonts w:hint="eastAsia" w:ascii="仿宋_GB2312" w:hAnsi="仿宋_GB2312" w:eastAsia="仿宋_GB2312" w:cs="仿宋_GB2312"/>
          <w:color w:val="auto"/>
          <w:spacing w:val="6"/>
          <w:sz w:val="32"/>
          <w:szCs w:val="32"/>
        </w:rPr>
        <w:t>产业园周边基本无居民分布，噪声对居民生活休息的直接干扰较小，但长期高强度噪声仍可能对产业园内部工作人员造成健康影响，同时也可能对产业园周边少量野生动物的栖息环境与行为模式产生一定干扰。</w:t>
      </w:r>
    </w:p>
    <w:p w14:paraId="3E732CEE">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7"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b/>
          <w:bCs/>
          <w:color w:val="auto"/>
          <w:spacing w:val="6"/>
          <w:sz w:val="32"/>
          <w:szCs w:val="32"/>
          <w:lang w:val="en-US" w:eastAsia="zh-CN"/>
        </w:rPr>
        <w:t>4.</w:t>
      </w:r>
      <w:r>
        <w:rPr>
          <w:rFonts w:hint="eastAsia" w:ascii="仿宋_GB2312" w:hAnsi="仿宋_GB2312" w:eastAsia="仿宋_GB2312" w:cs="仿宋_GB2312"/>
          <w:b/>
          <w:bCs/>
          <w:color w:val="auto"/>
          <w:spacing w:val="6"/>
          <w:sz w:val="32"/>
          <w:szCs w:val="32"/>
        </w:rPr>
        <w:t>土壤环境影响</w:t>
      </w:r>
      <w:r>
        <w:rPr>
          <w:rFonts w:hint="eastAsia" w:ascii="仿宋_GB2312" w:hAnsi="仿宋_GB2312" w:eastAsia="仿宋_GB2312" w:cs="仿宋_GB2312"/>
          <w:color w:val="auto"/>
          <w:spacing w:val="6"/>
          <w:sz w:val="32"/>
          <w:szCs w:val="32"/>
        </w:rPr>
        <w:t>：建筑垃圾长期堆放，其中的有害物质（重金属、有机污染物等）会随雨水淋溶渗入土壤，改变土壤理化性质，导致土壤酸碱度失衡、肥力下降，影响土壤微生物活性和土壤生态系统功能。受污染土壤种植的农作物可能吸收积累有害物质，通过食物链进入人体，危害人体健康。此外，建筑垃圾占用大量土地，导致可耕地面积减少，影响农业生产和土地资源合理利用。</w:t>
      </w:r>
    </w:p>
    <w:p w14:paraId="156F4CBE">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7"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b/>
          <w:bCs/>
          <w:color w:val="auto"/>
          <w:spacing w:val="6"/>
          <w:sz w:val="32"/>
          <w:szCs w:val="32"/>
          <w:lang w:val="en-US" w:eastAsia="zh-CN"/>
        </w:rPr>
        <w:t>5.生物及微生物环境影响</w:t>
      </w:r>
      <w:r>
        <w:rPr>
          <w:rFonts w:hint="eastAsia" w:ascii="仿宋_GB2312" w:hAnsi="仿宋_GB2312" w:eastAsia="仿宋_GB2312" w:cs="仿宋_GB2312"/>
          <w:color w:val="auto"/>
          <w:spacing w:val="6"/>
          <w:sz w:val="32"/>
          <w:szCs w:val="32"/>
        </w:rPr>
        <w:t>：建筑垃圾堆放区易形成潮湿、阴暗的局部环境，为蚊虫滋生提供适宜条件；同时，建筑垃圾中残留的有机物在降解过程中，可能滋生细菌、霉菌等有害微生物。蚊虫叮咬可能传播登革热、疟疾等传染病，有害微生物通过空气扩散或接触传播，易引发人体皮肤感染、呼吸道感染等健康问题。</w:t>
      </w:r>
    </w:p>
    <w:p w14:paraId="6372ABFE">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eastAsia" w:ascii="黑体" w:hAnsi="黑体" w:eastAsia="黑体" w:cs="黑体"/>
          <w:b w:val="0"/>
          <w:bCs w:val="0"/>
          <w:color w:val="auto"/>
          <w:spacing w:val="2"/>
          <w:sz w:val="31"/>
          <w:szCs w:val="31"/>
          <w:lang w:val="en-US" w:eastAsia="zh-CN"/>
        </w:rPr>
      </w:pPr>
      <w:bookmarkStart w:id="386" w:name="_Toc30615"/>
      <w:bookmarkStart w:id="387" w:name="_Toc14107"/>
      <w:bookmarkStart w:id="388" w:name="_Toc29901"/>
      <w:bookmarkStart w:id="389" w:name="_Toc26046"/>
      <w:r>
        <w:rPr>
          <w:rFonts w:hint="eastAsia" w:ascii="黑体" w:hAnsi="黑体" w:eastAsia="黑体" w:cs="黑体"/>
          <w:b w:val="0"/>
          <w:bCs w:val="0"/>
          <w:color w:val="auto"/>
          <w:spacing w:val="2"/>
          <w:sz w:val="31"/>
          <w:szCs w:val="31"/>
          <w:lang w:val="en-US" w:eastAsia="zh-CN"/>
        </w:rPr>
        <w:t>三、污染防治对策​</w:t>
      </w:r>
      <w:bookmarkEnd w:id="386"/>
      <w:bookmarkEnd w:id="387"/>
      <w:bookmarkEnd w:id="388"/>
      <w:bookmarkEnd w:id="389"/>
    </w:p>
    <w:p w14:paraId="48EECC7A">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390" w:name="_Toc14951"/>
      <w:bookmarkStart w:id="391" w:name="_Toc10310"/>
      <w:bookmarkStart w:id="392" w:name="_Toc25330"/>
      <w:bookmarkStart w:id="393" w:name="_Toc660"/>
      <w:r>
        <w:rPr>
          <w:rFonts w:hint="eastAsia" w:ascii="楷体_GB2312" w:hAnsi="楷体_GB2312" w:eastAsia="楷体_GB2312" w:cs="楷体_GB2312"/>
          <w:b/>
          <w:bCs/>
          <w:color w:val="auto"/>
          <w:spacing w:val="8"/>
          <w:sz w:val="32"/>
          <w:szCs w:val="32"/>
          <w:lang w:val="en-US" w:eastAsia="zh-CN"/>
        </w:rPr>
        <w:t>（一）大气污染防治​</w:t>
      </w:r>
      <w:bookmarkEnd w:id="390"/>
      <w:bookmarkEnd w:id="391"/>
      <w:bookmarkEnd w:id="392"/>
      <w:bookmarkEnd w:id="393"/>
    </w:p>
    <w:p w14:paraId="4AA98795">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7"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b/>
          <w:bCs/>
          <w:color w:val="auto"/>
          <w:spacing w:val="6"/>
          <w:sz w:val="32"/>
          <w:szCs w:val="32"/>
          <w:lang w:val="en-US" w:eastAsia="zh-CN"/>
        </w:rPr>
        <w:t>施工期</w:t>
      </w:r>
      <w:r>
        <w:rPr>
          <w:rFonts w:hint="eastAsia" w:ascii="仿宋_GB2312" w:hAnsi="仿宋_GB2312" w:eastAsia="仿宋_GB2312" w:cs="仿宋_GB2312"/>
          <w:color w:val="auto"/>
          <w:spacing w:val="6"/>
          <w:sz w:val="32"/>
          <w:szCs w:val="32"/>
        </w:rPr>
        <w:t>：施工现场设置连续、密闭的硬质围挡，高度不低于2.5米；对施工场地内的土方、物料等采取覆盖、固化、洒水降尘等措施，定期洒水抑尘，每天洒水次数不少于4次；运输建筑垃圾的车辆采用密闭式运输，安装卫星定位装置，按规定路线行驶，出场前对车辆进行冲洗，确保车身、轮胎干净整洁，严禁带泥上路；施工现场禁止焚烧各类废弃物，配备专门的喷雾降尘设备，在土方开挖、物料装卸等易产生扬尘的作业时段开启。​</w:t>
      </w:r>
    </w:p>
    <w:p w14:paraId="141C86A4">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7"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b/>
          <w:bCs/>
          <w:color w:val="auto"/>
          <w:spacing w:val="6"/>
          <w:sz w:val="32"/>
          <w:szCs w:val="32"/>
          <w:lang w:val="en-US" w:eastAsia="zh-CN"/>
        </w:rPr>
        <w:t>运营期</w:t>
      </w:r>
      <w:r>
        <w:rPr>
          <w:rFonts w:hint="eastAsia" w:ascii="仿宋_GB2312" w:hAnsi="仿宋_GB2312" w:eastAsia="仿宋_GB2312" w:cs="仿宋_GB2312"/>
          <w:color w:val="auto"/>
          <w:spacing w:val="6"/>
          <w:sz w:val="32"/>
          <w:szCs w:val="32"/>
        </w:rPr>
        <w:t>：建筑垃圾处理设施的物料堆放区设置封闭的料仓或采用防尘网覆盖；破碎、筛分等产尘环节安装高效的集气罩和布袋除尘器等除尘设备，确保粉尘达标排放；运输车辆采取密闭措施，在厂区进出口设置车辆清洗平台，对进出车辆进行冲洗；定期对厂区道路进行清扫、洒水，增加厂区绿化面积，种植具有吸尘降噪功能的植被，减少扬尘逸散。​</w:t>
      </w:r>
    </w:p>
    <w:p w14:paraId="2E8C0B97">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394" w:name="_Toc9111"/>
      <w:bookmarkStart w:id="395" w:name="_Toc23878"/>
      <w:bookmarkStart w:id="396" w:name="_Toc21181"/>
      <w:bookmarkStart w:id="397" w:name="_Toc15746"/>
      <w:r>
        <w:rPr>
          <w:rFonts w:hint="eastAsia" w:ascii="楷体_GB2312" w:hAnsi="楷体_GB2312" w:eastAsia="楷体_GB2312" w:cs="楷体_GB2312"/>
          <w:b/>
          <w:bCs/>
          <w:color w:val="auto"/>
          <w:spacing w:val="8"/>
          <w:sz w:val="32"/>
          <w:szCs w:val="32"/>
          <w:lang w:val="en-US" w:eastAsia="zh-CN"/>
        </w:rPr>
        <w:t>（二）水污染防治​</w:t>
      </w:r>
      <w:bookmarkEnd w:id="394"/>
      <w:bookmarkEnd w:id="395"/>
      <w:bookmarkEnd w:id="396"/>
      <w:bookmarkEnd w:id="397"/>
    </w:p>
    <w:p w14:paraId="41B9DA70">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7"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b/>
          <w:bCs/>
          <w:color w:val="auto"/>
          <w:spacing w:val="6"/>
          <w:sz w:val="32"/>
          <w:szCs w:val="32"/>
          <w:lang w:val="en-US" w:eastAsia="zh-CN"/>
        </w:rPr>
        <w:t>施工期</w:t>
      </w:r>
      <w:r>
        <w:rPr>
          <w:rFonts w:hint="eastAsia" w:ascii="仿宋_GB2312" w:hAnsi="仿宋_GB2312" w:eastAsia="仿宋_GB2312" w:cs="仿宋_GB2312"/>
          <w:color w:val="auto"/>
          <w:spacing w:val="6"/>
          <w:sz w:val="32"/>
          <w:szCs w:val="32"/>
        </w:rPr>
        <w:t>：在施工现场设置临时沉淀池，对施工废水进行沉淀处理，去除泥沙等悬浮物后，回用于施工现场洒水降尘、车辆冲洗等环节，严禁施工废水未经处理直接排放</w:t>
      </w:r>
      <w:r>
        <w:rPr>
          <w:rFonts w:hint="eastAsia" w:ascii="仿宋_GB2312" w:hAnsi="仿宋_GB2312" w:eastAsia="仿宋_GB2312" w:cs="仿宋_GB2312"/>
          <w:color w:val="auto"/>
          <w:spacing w:val="6"/>
          <w:sz w:val="32"/>
          <w:szCs w:val="32"/>
          <w:lang w:eastAsia="zh-CN"/>
        </w:rPr>
        <w:t>；在</w:t>
      </w:r>
      <w:r>
        <w:rPr>
          <w:rFonts w:hint="eastAsia" w:ascii="仿宋_GB2312" w:hAnsi="仿宋_GB2312" w:eastAsia="仿宋_GB2312" w:cs="仿宋_GB2312"/>
          <w:color w:val="auto"/>
          <w:spacing w:val="6"/>
          <w:sz w:val="32"/>
          <w:szCs w:val="32"/>
        </w:rPr>
        <w:t>施工营地设置环保厕所，定期清运粪便污水；对施工场地内的油污进行收集处理，防止其进入水体，可采用吸油毡等材料吸附油污，集中收集后交由有资质的单位处理。​</w:t>
      </w:r>
    </w:p>
    <w:p w14:paraId="2FC708A3">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7"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b/>
          <w:bCs/>
          <w:color w:val="auto"/>
          <w:spacing w:val="6"/>
          <w:sz w:val="32"/>
          <w:szCs w:val="32"/>
          <w:lang w:val="en-US" w:eastAsia="zh-CN"/>
        </w:rPr>
        <w:t>运营期</w:t>
      </w:r>
      <w:r>
        <w:rPr>
          <w:rFonts w:hint="eastAsia" w:ascii="仿宋_GB2312" w:hAnsi="仿宋_GB2312" w:eastAsia="仿宋_GB2312" w:cs="仿宋_GB2312"/>
          <w:color w:val="auto"/>
          <w:spacing w:val="6"/>
          <w:sz w:val="32"/>
          <w:szCs w:val="32"/>
        </w:rPr>
        <w:t>：建筑垃圾处理厂建设完善的污水处理系统，对冲洗废水、车辆清洗废水等进行集中处理。采用“沉淀+过滤+吸附”等工艺，去除废水中的悬浮物、重金属离子和油类物质，处理达标后的废水优先回用于生产环节，如物料冲洗、设备冷却等，回用率不低于80%；对无法回用的达标尾水，排入市政污水管网，进入污水处理厂进一步处理；定期对污水处理设施进行维护和检修，确保其正常运行，安装在线监测设备，实时监测废水水质。​</w:t>
      </w:r>
    </w:p>
    <w:p w14:paraId="62E41E75">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398" w:name="_Toc27518"/>
      <w:bookmarkStart w:id="399" w:name="_Toc25714"/>
      <w:bookmarkStart w:id="400" w:name="_Toc32347"/>
      <w:bookmarkStart w:id="401" w:name="_Toc23095"/>
      <w:r>
        <w:rPr>
          <w:rFonts w:hint="eastAsia" w:ascii="楷体_GB2312" w:hAnsi="楷体_GB2312" w:eastAsia="楷体_GB2312" w:cs="楷体_GB2312"/>
          <w:b/>
          <w:bCs/>
          <w:color w:val="auto"/>
          <w:spacing w:val="8"/>
          <w:sz w:val="32"/>
          <w:szCs w:val="32"/>
          <w:lang w:val="en-US" w:eastAsia="zh-CN"/>
        </w:rPr>
        <w:t>（三）噪声污染防治​</w:t>
      </w:r>
      <w:bookmarkEnd w:id="398"/>
      <w:bookmarkEnd w:id="399"/>
      <w:bookmarkEnd w:id="400"/>
      <w:bookmarkEnd w:id="401"/>
    </w:p>
    <w:p w14:paraId="1AD8D95D">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7"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b/>
          <w:bCs/>
          <w:color w:val="auto"/>
          <w:spacing w:val="6"/>
          <w:sz w:val="32"/>
          <w:szCs w:val="32"/>
          <w:lang w:val="en-US" w:eastAsia="zh-CN"/>
        </w:rPr>
        <w:t>施工期</w:t>
      </w:r>
      <w:r>
        <w:rPr>
          <w:rFonts w:hint="eastAsia" w:ascii="仿宋_GB2312" w:hAnsi="仿宋_GB2312" w:eastAsia="仿宋_GB2312" w:cs="仿宋_GB2312"/>
          <w:color w:val="auto"/>
          <w:spacing w:val="6"/>
          <w:sz w:val="32"/>
          <w:szCs w:val="32"/>
        </w:rPr>
        <w:t>：选用低噪声的施工机械设备和工艺，对高噪声设备采取降噪措施，如安装消声器、设置减震基础等；合理安排施工时间，避免在居民休息时间（夜间22:00</w:t>
      </w:r>
      <w:r>
        <w:rPr>
          <w:rFonts w:hint="eastAsia" w:ascii="仿宋_GB2312" w:hAnsi="仿宋_GB2312" w:eastAsia="仿宋_GB2312" w:cs="仿宋_GB2312"/>
          <w:color w:val="auto"/>
          <w:spacing w:val="6"/>
          <w:sz w:val="32"/>
          <w:szCs w:val="32"/>
          <w:lang w:eastAsia="zh-CN"/>
        </w:rPr>
        <w:t>－</w:t>
      </w:r>
      <w:r>
        <w:rPr>
          <w:rFonts w:hint="eastAsia" w:ascii="仿宋_GB2312" w:hAnsi="仿宋_GB2312" w:eastAsia="仿宋_GB2312" w:cs="仿宋_GB2312"/>
          <w:color w:val="auto"/>
          <w:spacing w:val="6"/>
          <w:sz w:val="32"/>
          <w:szCs w:val="32"/>
        </w:rPr>
        <w:t>次日6:00）进行高噪声作业，因工艺要求需连续施工的，需提前向生态环境部门申请并公告周边居民；在施工场地边界设置隔音围挡，采用吸声材料制作，降低噪声向外传播。</w:t>
      </w:r>
    </w:p>
    <w:p w14:paraId="3137B3E4">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7"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b/>
          <w:bCs/>
          <w:color w:val="auto"/>
          <w:spacing w:val="6"/>
          <w:sz w:val="32"/>
          <w:szCs w:val="32"/>
          <w:lang w:val="en-US" w:eastAsia="zh-CN"/>
        </w:rPr>
        <w:t>运营期</w:t>
      </w:r>
      <w:r>
        <w:rPr>
          <w:rFonts w:hint="eastAsia" w:ascii="仿宋_GB2312" w:hAnsi="仿宋_GB2312" w:eastAsia="仿宋_GB2312" w:cs="仿宋_GB2312"/>
          <w:color w:val="auto"/>
          <w:spacing w:val="6"/>
          <w:sz w:val="32"/>
          <w:szCs w:val="32"/>
        </w:rPr>
        <w:t>：对建筑垃圾处理设备进行合理布局，将高噪声设备布置在远离厂界和环境敏感点的区域；对破碎机、筛分机等设备采取密闭隔音措施，安装隔音罩、减震垫等；对运输车辆加强管理，限制车速，禁止在厂区内鸣笛，在厂界周围种植高大乔木，形成绿化隔音带，降低噪声对周边环境的影响；定期对设备进行维护保养，确保设备正常运行，减少因设备故障产生的异常噪声。</w:t>
      </w:r>
    </w:p>
    <w:p w14:paraId="6D678A44">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402" w:name="_Toc14354"/>
      <w:bookmarkStart w:id="403" w:name="_Toc18580"/>
      <w:bookmarkStart w:id="404" w:name="_Toc19380"/>
      <w:bookmarkStart w:id="405" w:name="_Toc13589"/>
      <w:r>
        <w:rPr>
          <w:rFonts w:hint="eastAsia" w:ascii="楷体_GB2312" w:hAnsi="楷体_GB2312" w:eastAsia="楷体_GB2312" w:cs="楷体_GB2312"/>
          <w:b/>
          <w:bCs/>
          <w:color w:val="auto"/>
          <w:spacing w:val="8"/>
          <w:sz w:val="32"/>
          <w:szCs w:val="32"/>
          <w:lang w:val="en-US" w:eastAsia="zh-CN"/>
        </w:rPr>
        <w:t>（四）土壤污染防治​</w:t>
      </w:r>
      <w:bookmarkEnd w:id="402"/>
      <w:bookmarkEnd w:id="403"/>
      <w:bookmarkEnd w:id="404"/>
      <w:bookmarkEnd w:id="405"/>
    </w:p>
    <w:p w14:paraId="174C237B">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7"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b/>
          <w:bCs/>
          <w:color w:val="auto"/>
          <w:spacing w:val="6"/>
          <w:sz w:val="32"/>
          <w:szCs w:val="32"/>
          <w:lang w:val="en-US" w:eastAsia="zh-CN"/>
        </w:rPr>
        <w:t>施工期</w:t>
      </w:r>
      <w:r>
        <w:rPr>
          <w:rFonts w:hint="eastAsia" w:ascii="仿宋_GB2312" w:hAnsi="仿宋_GB2312" w:eastAsia="仿宋_GB2312" w:cs="仿宋_GB2312"/>
          <w:color w:val="auto"/>
          <w:spacing w:val="6"/>
          <w:sz w:val="32"/>
          <w:szCs w:val="32"/>
        </w:rPr>
        <w:t>：对施工过程中产生的建筑垃圾进行分类收集，妥善存放，避免有害物质泄漏污染土壤；施工结束后，及时清理施工现场的建筑垃圾和杂物，对施工扰动的土地进行平整、复垦和绿化，恢复土壤原有生态功能；对施工场地内可能受污染的土壤进行监测，若发现土壤污染，及时采取修复措施。​</w:t>
      </w:r>
    </w:p>
    <w:p w14:paraId="2BC32581">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7"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b/>
          <w:bCs/>
          <w:color w:val="auto"/>
          <w:spacing w:val="6"/>
          <w:sz w:val="32"/>
          <w:szCs w:val="32"/>
          <w:lang w:val="en-US" w:eastAsia="zh-CN"/>
        </w:rPr>
        <w:t>运营期</w:t>
      </w:r>
      <w:r>
        <w:rPr>
          <w:rFonts w:hint="eastAsia" w:ascii="仿宋_GB2312" w:hAnsi="仿宋_GB2312" w:eastAsia="仿宋_GB2312" w:cs="仿宋_GB2312"/>
          <w:color w:val="auto"/>
          <w:spacing w:val="6"/>
          <w:sz w:val="32"/>
          <w:szCs w:val="32"/>
        </w:rPr>
        <w:t>：在建筑垃圾处理厂内设置专门的危险废物暂存间，对含有重金属等有害物质的建筑垃圾进行单独收集、存放，并交由有资质的单位进行处理，防止有害物质渗入土壤；加强对厂区地面的硬化和防渗处理，对废水处理设施、物料堆放区等重点区域进行重点防渗，铺设防渗膜，确保防渗效果；定期对厂区周边土壤进行监测，监测项目包括重金属、有机污染物等，建立土壤环境质量档案，及时掌握土壤环境质量变化情况，若发现土壤污染，立即采取相应的修复措施。​</w:t>
      </w:r>
    </w:p>
    <w:p w14:paraId="7A01E9CB">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5" w:firstLineChars="200"/>
        <w:jc w:val="both"/>
        <w:textAlignment w:val="baseline"/>
        <w:rPr>
          <w:rFonts w:hint="eastAsia" w:ascii="仿宋_GB2312" w:hAnsi="仿宋_GB2312" w:eastAsia="仿宋_GB2312" w:cs="仿宋_GB2312"/>
          <w:color w:val="auto"/>
          <w:spacing w:val="6"/>
          <w:sz w:val="32"/>
          <w:szCs w:val="32"/>
        </w:rPr>
      </w:pPr>
      <w:r>
        <w:rPr>
          <w:rFonts w:hint="eastAsia" w:ascii="楷体_GB2312" w:hAnsi="楷体_GB2312" w:eastAsia="楷体_GB2312" w:cs="楷体_GB2312"/>
          <w:b/>
          <w:bCs/>
          <w:color w:val="auto"/>
          <w:spacing w:val="8"/>
          <w:sz w:val="32"/>
          <w:szCs w:val="32"/>
          <w:lang w:val="en-US" w:eastAsia="zh-CN"/>
        </w:rPr>
        <w:t>（五）噪声污染防治</w:t>
      </w:r>
    </w:p>
    <w:p w14:paraId="2714D848">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7"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b/>
          <w:bCs/>
          <w:color w:val="auto"/>
          <w:spacing w:val="6"/>
          <w:sz w:val="32"/>
          <w:szCs w:val="32"/>
          <w:lang w:val="en-US" w:eastAsia="zh-CN"/>
        </w:rPr>
        <w:t>运营期</w:t>
      </w:r>
      <w:r>
        <w:rPr>
          <w:rFonts w:hint="eastAsia" w:ascii="仿宋_GB2312" w:hAnsi="仿宋_GB2312" w:eastAsia="仿宋_GB2312" w:cs="仿宋_GB2312"/>
          <w:color w:val="auto"/>
          <w:spacing w:val="6"/>
          <w:sz w:val="32"/>
          <w:szCs w:val="32"/>
        </w:rPr>
        <w:t>：定期清理建筑垃圾中废弃木材、织物等有机物，同时优化场地排水避免积水，从根本上减少滋生条件。环境层面每月至少开展 2 次消杀，用低毒杀虫剂对堆放区、排水沟等关键区域喷洒，还需在场地周边设置防蚊网，并增加通风设备，以此抑制蚊虫和微生物繁殖扩散。人员防护上要为工作人员配备驱蚊液、防护口罩，定期开展预防知识培训，一旦发现局部区域有大量蚊虫或微生物滋生，立即启动应急消杀措施。</w:t>
      </w:r>
    </w:p>
    <w:p w14:paraId="620880F2">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eastAsia" w:ascii="黑体" w:hAnsi="黑体" w:eastAsia="黑体" w:cs="黑体"/>
          <w:b w:val="0"/>
          <w:bCs w:val="0"/>
          <w:color w:val="auto"/>
          <w:spacing w:val="2"/>
          <w:sz w:val="31"/>
          <w:szCs w:val="31"/>
          <w:lang w:val="en-US" w:eastAsia="zh-CN"/>
        </w:rPr>
      </w:pPr>
      <w:bookmarkStart w:id="406" w:name="_Toc10918"/>
      <w:bookmarkStart w:id="407" w:name="_Toc12640"/>
      <w:bookmarkStart w:id="408" w:name="_Toc28540"/>
      <w:bookmarkStart w:id="409" w:name="_Toc27966"/>
      <w:r>
        <w:rPr>
          <w:rFonts w:hint="eastAsia" w:ascii="黑体" w:hAnsi="黑体" w:eastAsia="黑体" w:cs="黑体"/>
          <w:b w:val="0"/>
          <w:bCs w:val="0"/>
          <w:color w:val="auto"/>
          <w:spacing w:val="2"/>
          <w:sz w:val="31"/>
          <w:szCs w:val="31"/>
          <w:lang w:val="en-US" w:eastAsia="zh-CN"/>
        </w:rPr>
        <w:t>四、环境监测​</w:t>
      </w:r>
      <w:bookmarkEnd w:id="406"/>
      <w:bookmarkEnd w:id="407"/>
      <w:bookmarkEnd w:id="408"/>
      <w:bookmarkEnd w:id="409"/>
    </w:p>
    <w:p w14:paraId="6DC9D998">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410" w:name="_Toc24941"/>
      <w:bookmarkStart w:id="411" w:name="_Toc11100"/>
      <w:bookmarkStart w:id="412" w:name="_Toc14972"/>
      <w:bookmarkStart w:id="413" w:name="_Toc9914"/>
      <w:r>
        <w:rPr>
          <w:rFonts w:hint="eastAsia" w:ascii="楷体_GB2312" w:hAnsi="楷体_GB2312" w:eastAsia="楷体_GB2312" w:cs="楷体_GB2312"/>
          <w:b/>
          <w:bCs/>
          <w:color w:val="auto"/>
          <w:spacing w:val="8"/>
          <w:sz w:val="32"/>
          <w:szCs w:val="32"/>
          <w:lang w:val="en-US" w:eastAsia="zh-CN"/>
        </w:rPr>
        <w:t>（一）监测计划制定​</w:t>
      </w:r>
      <w:bookmarkEnd w:id="410"/>
      <w:bookmarkEnd w:id="411"/>
      <w:bookmarkEnd w:id="412"/>
      <w:bookmarkEnd w:id="413"/>
    </w:p>
    <w:p w14:paraId="3C303A85">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bookmarkStart w:id="414" w:name="_Toc25093"/>
      <w:bookmarkStart w:id="415" w:name="_Toc2554"/>
      <w:bookmarkStart w:id="416" w:name="_Toc18844"/>
      <w:bookmarkStart w:id="417" w:name="_Toc8851"/>
      <w:r>
        <w:rPr>
          <w:rFonts w:hint="eastAsia" w:ascii="仿宋_GB2312" w:hAnsi="仿宋_GB2312" w:eastAsia="仿宋_GB2312" w:cs="仿宋_GB2312"/>
          <w:color w:val="auto"/>
          <w:spacing w:val="6"/>
          <w:sz w:val="32"/>
          <w:szCs w:val="32"/>
        </w:rPr>
        <w:t>由建筑垃圾处理设施建设单位负责，在建设期根据环境影响评价文件要求，制定项目自主验收环境监测计划，明确执行的标准和内容，开展各项污染物检测，确保项目建成投产通过自主验收和审核备案，建设单位不具备条件的可委托环境影响评价机构开展。建筑垃圾处理设施运营单位，根据排污许</w:t>
      </w:r>
      <w:r>
        <w:rPr>
          <w:rFonts w:hint="eastAsia" w:ascii="仿宋_GB2312" w:hAnsi="仿宋_GB2312" w:eastAsia="仿宋_GB2312" w:cs="仿宋_GB2312"/>
          <w:color w:val="auto"/>
          <w:spacing w:val="6"/>
          <w:sz w:val="32"/>
          <w:szCs w:val="32"/>
          <w:lang w:val="en-US" w:eastAsia="zh-CN"/>
        </w:rPr>
        <w:t>可</w:t>
      </w:r>
      <w:r>
        <w:rPr>
          <w:rFonts w:hint="eastAsia" w:ascii="仿宋_GB2312" w:hAnsi="仿宋_GB2312" w:eastAsia="仿宋_GB2312" w:cs="仿宋_GB2312"/>
          <w:color w:val="auto"/>
          <w:spacing w:val="6"/>
          <w:sz w:val="32"/>
          <w:szCs w:val="32"/>
        </w:rPr>
        <w:t>管理办法规定，向生态环境部门申请排污许可证，并根据排污许可证要求制定排污单位自行监测方案，开展自行监测并及时公布监测结果。运营单位不具备条件的可委托环境检测机构开展。生态环境部门负责对建筑垃圾处理设施项目审批和项目自主验收的审核备案；负责运营单位自行监测方案的审核、监督自行监测方案的实施及数据结果完成率的公布，确保各项污染物排放达到排污许可证规定的相关要求。</w:t>
      </w:r>
    </w:p>
    <w:p w14:paraId="0E8A9A85">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r>
        <w:rPr>
          <w:rFonts w:hint="eastAsia" w:ascii="楷体_GB2312" w:hAnsi="楷体_GB2312" w:eastAsia="楷体_GB2312" w:cs="楷体_GB2312"/>
          <w:b/>
          <w:bCs/>
          <w:color w:val="auto"/>
          <w:spacing w:val="8"/>
          <w:sz w:val="32"/>
          <w:szCs w:val="32"/>
          <w:lang w:val="en-US" w:eastAsia="zh-CN"/>
        </w:rPr>
        <w:t>（二）监测点位与项目​</w:t>
      </w:r>
      <w:bookmarkEnd w:id="414"/>
      <w:bookmarkEnd w:id="415"/>
      <w:bookmarkEnd w:id="416"/>
      <w:bookmarkEnd w:id="417"/>
    </w:p>
    <w:p w14:paraId="1A0853FB">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7"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b/>
          <w:bCs/>
          <w:color w:val="auto"/>
          <w:spacing w:val="6"/>
          <w:sz w:val="32"/>
          <w:szCs w:val="32"/>
          <w:lang w:val="en-US" w:eastAsia="zh-CN"/>
        </w:rPr>
        <w:t>1.大气环境监测</w:t>
      </w:r>
      <w:r>
        <w:rPr>
          <w:rFonts w:hint="eastAsia" w:ascii="仿宋_GB2312" w:hAnsi="仿宋_GB2312" w:eastAsia="仿宋_GB2312" w:cs="仿宋_GB2312"/>
          <w:color w:val="auto"/>
          <w:spacing w:val="6"/>
          <w:sz w:val="32"/>
          <w:szCs w:val="32"/>
        </w:rPr>
        <w:t>：大气环境由建设/运营单位根据自主验收监测计划或自行监测方案分别开展，重点覆盖三类区域，分别是建筑垃圾处理设施周边500米范围内、运输道路两侧200米内，以及居民区、学校等环境敏感点，确保全面捕捉大气污染扩散范围。监测项目包含常规污染物与特征污染物两类，常规污染物涵盖PM10、PM2.5、二氧化硫、氮氧化物、一氧化碳、臭氧等，特征污染物主要为二噁英等。建设期环境监测内容具体按照建设单位自主验收方案的监测计划开展。运营期自行监测具体内容根据生态环境部门审批的排污许可证的要求执行。</w:t>
      </w:r>
    </w:p>
    <w:p w14:paraId="38CEC7D8">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7"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b/>
          <w:bCs/>
          <w:color w:val="auto"/>
          <w:spacing w:val="6"/>
          <w:sz w:val="32"/>
          <w:szCs w:val="32"/>
          <w:lang w:val="en-US" w:eastAsia="zh-CN"/>
        </w:rPr>
        <w:t>2.水环境监测</w:t>
      </w:r>
      <w:r>
        <w:rPr>
          <w:rFonts w:hint="eastAsia" w:ascii="仿宋_GB2312" w:hAnsi="仿宋_GB2312" w:eastAsia="仿宋_GB2312" w:cs="仿宋_GB2312"/>
          <w:color w:val="auto"/>
          <w:spacing w:val="6"/>
          <w:sz w:val="32"/>
          <w:szCs w:val="32"/>
        </w:rPr>
        <w:t>：水环境监测由建设/运营单位根据自主验收监测计划或自行监测方案分别开展。分为地表水与地下水两类，地表水监测覆盖处理厂雨水排放口、周边河流、沟渠等地表水体，地下水监测则聚焦厂区内及下游的地下水监测井，形成“源头－过程－下游”的全链条覆盖。监测项目针对水体特性设置，地表水需监测pH值、化学需氧量、生化需氧量、悬浮物、氨氮、总磷、总氮、重金属离子（铅、汞、镉、铬等）、石油类，地下水监测项目主要为pH值、氨氮、重金属离子（铅、汞、镉、铬）等。建设期环境监测内容具体按照建设单位自主验收方案的监测计划开展。运营期自行监测具体内容根据生态环境部门审批的排污许可证的要求执行。​</w:t>
      </w:r>
    </w:p>
    <w:p w14:paraId="55B91CD4">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7"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b/>
          <w:bCs/>
          <w:color w:val="auto"/>
          <w:spacing w:val="6"/>
          <w:sz w:val="32"/>
          <w:szCs w:val="32"/>
          <w:lang w:val="en-US" w:eastAsia="zh-CN"/>
        </w:rPr>
        <w:t>3.声环境监测</w:t>
      </w:r>
      <w:r>
        <w:rPr>
          <w:rFonts w:hint="eastAsia" w:ascii="仿宋_GB2312" w:hAnsi="仿宋_GB2312" w:eastAsia="仿宋_GB2312" w:cs="仿宋_GB2312"/>
          <w:color w:val="auto"/>
          <w:spacing w:val="6"/>
          <w:sz w:val="32"/>
          <w:szCs w:val="32"/>
        </w:rPr>
        <w:t>：声环境监测由建设/运营单位根据自主验收监测计划或自行监测方案分别开展。选取两类关键区域，一是建筑垃圾处理厂厂界，需在东、南、西、北四侧分别设点，全面反映厂界噪声排放情况；二是周边200米内的环境敏感点，包括居民区、医院等对噪声敏感的区域。建设期环境监测内容具体按照建设单位自主验收方案的监测计划内容开展。运营期自行监测具体内容根据生态环境部门审批的排污许可证的要求执行。​</w:t>
      </w:r>
    </w:p>
    <w:p w14:paraId="15669F38">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7"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b/>
          <w:bCs/>
          <w:color w:val="auto"/>
          <w:spacing w:val="6"/>
          <w:sz w:val="32"/>
          <w:szCs w:val="32"/>
          <w:lang w:val="en-US" w:eastAsia="zh-CN"/>
        </w:rPr>
        <w:t>4.土壤环境监测</w:t>
      </w:r>
      <w:r>
        <w:rPr>
          <w:rFonts w:hint="eastAsia" w:ascii="仿宋_GB2312" w:hAnsi="仿宋_GB2312" w:eastAsia="仿宋_GB2312" w:cs="仿宋_GB2312"/>
          <w:color w:val="auto"/>
          <w:spacing w:val="6"/>
          <w:sz w:val="32"/>
          <w:szCs w:val="32"/>
        </w:rPr>
        <w:t>：2.土壤环境监测：土壤环境由建设/运营单位根据自主验收监测计划或自行监测方案分别开展。分为厂区内与厂区外两类，厂区内重点覆盖填埋区、原料堆存区等污染风险较高的区域，厂区外则聚焦下游500米内的土壤敏感区，避免污染扩散至周边土壤。监测项目包含三大类，分别是重金属（铅、汞、镉、铬、铜、锌等）、有机污染物（多环芳烃、农药残留等），以及土壤理化性质（pH值、土壤质地、有机质含量等），全面评估土壤环境质量。建设期环境监测内容具体按照建设单位自主验收方案的监测计划内容开展。运营期自行监测具体内容根据生态环境部门审批的排污许可证的要求执行。</w:t>
      </w:r>
    </w:p>
    <w:p w14:paraId="37A839BA">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418" w:name="_Toc8028"/>
      <w:bookmarkStart w:id="419" w:name="_Toc121"/>
      <w:bookmarkStart w:id="420" w:name="_Toc28558"/>
      <w:bookmarkStart w:id="421" w:name="_Toc6649"/>
      <w:r>
        <w:rPr>
          <w:rFonts w:hint="eastAsia" w:ascii="楷体_GB2312" w:hAnsi="楷体_GB2312" w:eastAsia="楷体_GB2312" w:cs="楷体_GB2312"/>
          <w:b/>
          <w:bCs/>
          <w:color w:val="auto"/>
          <w:spacing w:val="8"/>
          <w:sz w:val="32"/>
          <w:szCs w:val="32"/>
          <w:lang w:val="en-US" w:eastAsia="zh-CN"/>
        </w:rPr>
        <w:t>（三）监测数据管理与应用​</w:t>
      </w:r>
      <w:bookmarkEnd w:id="418"/>
      <w:bookmarkEnd w:id="419"/>
      <w:bookmarkEnd w:id="420"/>
      <w:bookmarkEnd w:id="421"/>
    </w:p>
    <w:p w14:paraId="422E6412">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建设/运营单位分别建立项目环境影响自主验收环境监测数据档案和排污单位自行监测台账。建设单位对建设期各项监测数据进行整理分析，准确掌握项目建设期环境状况变化情况，及时有效改进建设期环境管理和污染防治各项措施，确保项目自主验收符合环境影响评价各项标准要求。运营单位根据排污许可证要求制定并落实自行监测方案，建立自行监测台账，定期向社会公开，接受公众监督，确保自行监测结果完成率达到省市下达的要求，对比分析监测数据结果，分析判断建筑垃圾处理设施各项环境保护措施落实情况，若监测数据出现异常，及时向主管部门和生态环境部门报告，组织开展污染源排查，开展异常原因分析，并及时采取相应的措施，降低或消除环境污染，确保各项设施设备正常运行，各项措施有效落实，确保环境质量安全。​</w:t>
      </w:r>
    </w:p>
    <w:p w14:paraId="7015E6BD">
      <w:pPr>
        <w:keepNext w:val="0"/>
        <w:keepLines w:val="0"/>
        <w:pageBreakBefore w:val="0"/>
        <w:widowControl w:val="0"/>
        <w:kinsoku/>
        <w:wordWrap/>
        <w:overflowPunct/>
        <w:topLinePunct w:val="0"/>
        <w:autoSpaceDE w:val="0"/>
        <w:autoSpaceDN w:val="0"/>
        <w:bidi w:val="0"/>
        <w:adjustRightInd w:val="0"/>
        <w:snapToGrid w:val="0"/>
        <w:spacing w:line="560" w:lineRule="exact"/>
        <w:ind w:right="0"/>
        <w:jc w:val="center"/>
        <w:textAlignment w:val="baseline"/>
        <w:rPr>
          <w:rFonts w:hint="eastAsia" w:ascii="黑体" w:hAnsi="黑体" w:eastAsia="黑体" w:cs="黑体"/>
          <w:color w:val="auto"/>
          <w:spacing w:val="6"/>
          <w:sz w:val="31"/>
          <w:szCs w:val="31"/>
        </w:rPr>
        <w:sectPr>
          <w:headerReference r:id="rId14" w:type="default"/>
          <w:pgSz w:w="23811" w:h="16838" w:orient="landscape"/>
          <w:pgMar w:top="1800" w:right="1440" w:bottom="1800" w:left="1440" w:header="851" w:footer="992" w:gutter="0"/>
          <w:pgNumType w:fmt="numberInDash"/>
          <w:cols w:space="2106" w:num="2"/>
          <w:docGrid w:type="lines" w:linePitch="312" w:charSpace="0"/>
        </w:sectPr>
      </w:pPr>
    </w:p>
    <w:p w14:paraId="476E61E7">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313" w:afterLines="100" w:line="560" w:lineRule="exact"/>
        <w:ind w:right="0" w:rightChars="0"/>
        <w:jc w:val="center"/>
        <w:textAlignment w:val="baseline"/>
        <w:outlineLvl w:val="0"/>
        <w:rPr>
          <w:rFonts w:hint="eastAsia" w:ascii="黑体" w:hAnsi="黑体" w:eastAsia="黑体" w:cs="黑体"/>
          <w:color w:val="auto"/>
          <w:spacing w:val="7"/>
          <w:sz w:val="44"/>
          <w:szCs w:val="44"/>
          <w:lang w:val="en-US" w:eastAsia="zh-CN"/>
        </w:rPr>
      </w:pPr>
      <w:bookmarkStart w:id="422" w:name="_Toc8914"/>
      <w:bookmarkStart w:id="423" w:name="_Toc3645"/>
      <w:bookmarkStart w:id="424" w:name="_Toc19381"/>
      <w:bookmarkStart w:id="425" w:name="_Toc356"/>
      <w:r>
        <w:rPr>
          <w:rFonts w:hint="eastAsia" w:ascii="黑体" w:hAnsi="黑体" w:eastAsia="黑体" w:cs="黑体"/>
          <w:color w:val="auto"/>
          <w:spacing w:val="7"/>
          <w:sz w:val="44"/>
          <w:szCs w:val="44"/>
          <w:lang w:val="en-US" w:eastAsia="zh-CN"/>
        </w:rPr>
        <w:t>第九章 监督管理</w:t>
      </w:r>
      <w:bookmarkEnd w:id="422"/>
      <w:bookmarkEnd w:id="423"/>
      <w:bookmarkEnd w:id="424"/>
      <w:bookmarkEnd w:id="425"/>
    </w:p>
    <w:p w14:paraId="0747B294">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eastAsia" w:ascii="黑体" w:hAnsi="黑体" w:eastAsia="黑体" w:cs="黑体"/>
          <w:b w:val="0"/>
          <w:bCs w:val="0"/>
          <w:color w:val="auto"/>
          <w:spacing w:val="2"/>
          <w:sz w:val="31"/>
          <w:szCs w:val="31"/>
          <w:lang w:val="en-US" w:eastAsia="zh-CN"/>
        </w:rPr>
      </w:pPr>
      <w:bookmarkStart w:id="426" w:name="_Toc3097"/>
      <w:bookmarkStart w:id="427" w:name="_Toc13692"/>
      <w:bookmarkStart w:id="428" w:name="_Toc30458"/>
      <w:bookmarkStart w:id="429" w:name="_Toc1962"/>
      <w:r>
        <w:rPr>
          <w:rFonts w:hint="eastAsia" w:ascii="黑体" w:hAnsi="黑体" w:eastAsia="黑体" w:cs="黑体"/>
          <w:b w:val="0"/>
          <w:bCs w:val="0"/>
          <w:color w:val="auto"/>
          <w:spacing w:val="2"/>
          <w:sz w:val="31"/>
          <w:szCs w:val="31"/>
          <w:lang w:val="en-US" w:eastAsia="zh-CN"/>
        </w:rPr>
        <w:t>一、制度机制建设</w:t>
      </w:r>
      <w:bookmarkEnd w:id="426"/>
      <w:bookmarkEnd w:id="427"/>
      <w:bookmarkEnd w:id="428"/>
      <w:bookmarkEnd w:id="429"/>
    </w:p>
    <w:p w14:paraId="5604AFDB">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430" w:name="_Toc26214"/>
      <w:bookmarkStart w:id="431" w:name="_Toc5281"/>
      <w:bookmarkStart w:id="432" w:name="_Toc1254"/>
      <w:bookmarkStart w:id="433" w:name="_Toc27704"/>
      <w:r>
        <w:rPr>
          <w:rFonts w:hint="eastAsia" w:ascii="楷体_GB2312" w:hAnsi="楷体_GB2312" w:eastAsia="楷体_GB2312" w:cs="楷体_GB2312"/>
          <w:b/>
          <w:bCs/>
          <w:color w:val="auto"/>
          <w:spacing w:val="8"/>
          <w:sz w:val="32"/>
          <w:szCs w:val="32"/>
          <w:lang w:val="en-US" w:eastAsia="zh-CN"/>
        </w:rPr>
        <w:t>（一）处理收费制度和费用结算机制</w:t>
      </w:r>
      <w:bookmarkEnd w:id="430"/>
      <w:bookmarkEnd w:id="431"/>
      <w:bookmarkEnd w:id="432"/>
      <w:bookmarkEnd w:id="433"/>
    </w:p>
    <w:p w14:paraId="05BC9475">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按照“谁产生、谁污染、谁负责”的原则，产生建筑垃圾的单位和个人具有规范清运和处置的主体责任，需缴纳相关清运处置费。</w:t>
      </w:r>
    </w:p>
    <w:p w14:paraId="73D43DCC">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434" w:name="_Toc20892"/>
      <w:bookmarkStart w:id="435" w:name="_Toc6684"/>
      <w:bookmarkStart w:id="436" w:name="_Toc31395"/>
      <w:bookmarkStart w:id="437" w:name="_Toc4406"/>
      <w:r>
        <w:rPr>
          <w:rFonts w:hint="eastAsia" w:ascii="楷体_GB2312" w:hAnsi="楷体_GB2312" w:eastAsia="楷体_GB2312" w:cs="楷体_GB2312"/>
          <w:b/>
          <w:bCs/>
          <w:color w:val="auto"/>
          <w:spacing w:val="8"/>
          <w:sz w:val="32"/>
          <w:szCs w:val="32"/>
          <w:lang w:val="en-US" w:eastAsia="zh-CN"/>
        </w:rPr>
        <w:t>（二）扶持制度</w:t>
      </w:r>
      <w:bookmarkEnd w:id="434"/>
      <w:bookmarkEnd w:id="435"/>
      <w:bookmarkEnd w:id="436"/>
      <w:bookmarkEnd w:id="437"/>
    </w:p>
    <w:p w14:paraId="4CCAE563">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税务部门按照国家有关规定落实企业所得税和增值税的减免优惠政策；对装修垃圾的收集、运输和处理处置进行必要的补贴；给予建筑垃圾再利用企业一定的政策扶持。</w:t>
      </w:r>
    </w:p>
    <w:p w14:paraId="5CED570F">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438" w:name="_Toc4877"/>
      <w:bookmarkStart w:id="439" w:name="_Toc7469"/>
      <w:bookmarkStart w:id="440" w:name="_Toc6877"/>
      <w:bookmarkStart w:id="441" w:name="_Toc11307"/>
      <w:r>
        <w:rPr>
          <w:rFonts w:hint="eastAsia" w:ascii="楷体_GB2312" w:hAnsi="楷体_GB2312" w:eastAsia="楷体_GB2312" w:cs="楷体_GB2312"/>
          <w:b/>
          <w:bCs/>
          <w:color w:val="auto"/>
          <w:spacing w:val="8"/>
          <w:sz w:val="32"/>
          <w:szCs w:val="32"/>
          <w:lang w:val="en-US" w:eastAsia="zh-CN"/>
        </w:rPr>
        <w:t>（三）源头责任机制</w:t>
      </w:r>
      <w:bookmarkEnd w:id="438"/>
      <w:bookmarkEnd w:id="439"/>
      <w:bookmarkEnd w:id="440"/>
      <w:bookmarkEnd w:id="441"/>
    </w:p>
    <w:p w14:paraId="1F8F9F57">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明确规定建设单位为工地建筑垃圾管理处置的主要责任人，对于不执行相关规定的工地，一律追究建设单位的责任。</w:t>
      </w:r>
    </w:p>
    <w:p w14:paraId="09F503F3">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442" w:name="_Toc17297"/>
      <w:bookmarkStart w:id="443" w:name="_Toc28824"/>
      <w:bookmarkStart w:id="444" w:name="_Toc30124"/>
      <w:bookmarkStart w:id="445" w:name="_Toc31221"/>
      <w:r>
        <w:rPr>
          <w:rFonts w:hint="eastAsia" w:ascii="楷体_GB2312" w:hAnsi="楷体_GB2312" w:eastAsia="楷体_GB2312" w:cs="楷体_GB2312"/>
          <w:b/>
          <w:bCs/>
          <w:color w:val="auto"/>
          <w:spacing w:val="8"/>
          <w:sz w:val="32"/>
          <w:szCs w:val="32"/>
          <w:lang w:val="en-US" w:eastAsia="zh-CN"/>
        </w:rPr>
        <w:t>（四）运输监督机制</w:t>
      </w:r>
      <w:bookmarkEnd w:id="442"/>
      <w:bookmarkEnd w:id="443"/>
      <w:bookmarkEnd w:id="444"/>
      <w:bookmarkEnd w:id="445"/>
    </w:p>
    <w:p w14:paraId="3F6E4382">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从事建筑垃圾运输的企业应具有合法的道路运输证、车辆行驶证以及建筑垃圾主管部门规定的自有运输车辆数量、</w:t>
      </w:r>
      <w:r>
        <w:rPr>
          <w:rFonts w:hint="eastAsia" w:ascii="仿宋_GB2312" w:hAnsi="仿宋_GB2312" w:eastAsia="仿宋_GB2312" w:cs="仿宋_GB2312"/>
          <w:color w:val="auto"/>
          <w:spacing w:val="6"/>
          <w:sz w:val="32"/>
          <w:szCs w:val="32"/>
          <w:lang w:eastAsia="zh-CN"/>
        </w:rPr>
        <w:t>荷载</w:t>
      </w:r>
      <w:r>
        <w:rPr>
          <w:rFonts w:hint="eastAsia" w:ascii="仿宋_GB2312" w:hAnsi="仿宋_GB2312" w:eastAsia="仿宋_GB2312" w:cs="仿宋_GB2312"/>
          <w:color w:val="auto"/>
          <w:spacing w:val="6"/>
          <w:sz w:val="32"/>
          <w:szCs w:val="32"/>
        </w:rPr>
        <w:t>吨位及密闭化、分类运输的各项要求；建筑垃圾主管部门对申请建筑垃圾运输行政许可的企业经营者以及取得建筑垃圾运输行政许可的</w:t>
      </w:r>
      <w:r>
        <w:rPr>
          <w:rFonts w:hint="eastAsia" w:ascii="仿宋_GB2312" w:hAnsi="仿宋_GB2312" w:eastAsia="仿宋_GB2312" w:cs="仿宋_GB2312"/>
          <w:color w:val="auto"/>
          <w:spacing w:val="6"/>
          <w:sz w:val="32"/>
          <w:szCs w:val="32"/>
          <w:lang w:eastAsia="zh-CN"/>
        </w:rPr>
        <w:t>企业</w:t>
      </w:r>
      <w:r>
        <w:rPr>
          <w:rFonts w:hint="eastAsia" w:ascii="仿宋_GB2312" w:hAnsi="仿宋_GB2312" w:eastAsia="仿宋_GB2312" w:cs="仿宋_GB2312"/>
          <w:color w:val="auto"/>
          <w:spacing w:val="6"/>
          <w:sz w:val="32"/>
          <w:szCs w:val="32"/>
        </w:rPr>
        <w:t>的从业人员</w:t>
      </w:r>
      <w:r>
        <w:rPr>
          <w:rFonts w:hint="eastAsia" w:ascii="仿宋_GB2312" w:hAnsi="仿宋_GB2312" w:eastAsia="仿宋_GB2312" w:cs="仿宋_GB2312"/>
          <w:color w:val="auto"/>
          <w:spacing w:val="6"/>
          <w:sz w:val="32"/>
          <w:szCs w:val="32"/>
          <w:lang w:eastAsia="zh-CN"/>
        </w:rPr>
        <w:t>（</w:t>
      </w:r>
      <w:r>
        <w:rPr>
          <w:rFonts w:hint="eastAsia" w:ascii="仿宋_GB2312" w:hAnsi="仿宋_GB2312" w:eastAsia="仿宋_GB2312" w:cs="仿宋_GB2312"/>
          <w:color w:val="auto"/>
          <w:spacing w:val="6"/>
          <w:sz w:val="32"/>
          <w:szCs w:val="32"/>
        </w:rPr>
        <w:t>包括车辆</w:t>
      </w:r>
      <w:r>
        <w:rPr>
          <w:rFonts w:hint="eastAsia" w:ascii="仿宋_GB2312" w:hAnsi="仿宋_GB2312" w:eastAsia="仿宋_GB2312" w:cs="仿宋_GB2312"/>
          <w:color w:val="auto"/>
          <w:spacing w:val="6"/>
          <w:sz w:val="32"/>
          <w:szCs w:val="32"/>
          <w:lang w:eastAsia="zh-CN"/>
        </w:rPr>
        <w:t>驾驶</w:t>
      </w:r>
      <w:r>
        <w:rPr>
          <w:rFonts w:hint="eastAsia" w:ascii="仿宋_GB2312" w:hAnsi="仿宋_GB2312" w:eastAsia="仿宋_GB2312" w:cs="仿宋_GB2312"/>
          <w:color w:val="auto"/>
          <w:spacing w:val="6"/>
          <w:sz w:val="32"/>
          <w:szCs w:val="32"/>
        </w:rPr>
        <w:t>员、现场作业人员等</w:t>
      </w:r>
      <w:r>
        <w:rPr>
          <w:rFonts w:hint="eastAsia" w:ascii="仿宋_GB2312" w:hAnsi="仿宋_GB2312" w:eastAsia="仿宋_GB2312" w:cs="仿宋_GB2312"/>
          <w:color w:val="auto"/>
          <w:spacing w:val="6"/>
          <w:sz w:val="32"/>
          <w:szCs w:val="32"/>
          <w:lang w:eastAsia="zh-CN"/>
        </w:rPr>
        <w:t>）</w:t>
      </w:r>
      <w:r>
        <w:rPr>
          <w:rFonts w:hint="eastAsia" w:ascii="仿宋_GB2312" w:hAnsi="仿宋_GB2312" w:eastAsia="仿宋_GB2312" w:cs="仿宋_GB2312"/>
          <w:color w:val="auto"/>
          <w:spacing w:val="6"/>
          <w:sz w:val="32"/>
          <w:szCs w:val="32"/>
        </w:rPr>
        <w:t>，应进行相关法规、标准及操作规程方面的培训。</w:t>
      </w:r>
    </w:p>
    <w:p w14:paraId="60238BC3">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446" w:name="_Toc16356"/>
      <w:bookmarkStart w:id="447" w:name="_Toc17230"/>
      <w:bookmarkStart w:id="448" w:name="_Toc30387"/>
      <w:bookmarkStart w:id="449" w:name="_Toc27893"/>
      <w:r>
        <w:rPr>
          <w:rFonts w:hint="eastAsia" w:ascii="楷体_GB2312" w:hAnsi="楷体_GB2312" w:eastAsia="楷体_GB2312" w:cs="楷体_GB2312"/>
          <w:b/>
          <w:bCs/>
          <w:color w:val="auto"/>
          <w:spacing w:val="8"/>
          <w:sz w:val="32"/>
          <w:szCs w:val="32"/>
          <w:lang w:val="en-US" w:eastAsia="zh-CN"/>
        </w:rPr>
        <w:t>（五）联合执法制度</w:t>
      </w:r>
      <w:bookmarkEnd w:id="446"/>
      <w:bookmarkEnd w:id="447"/>
      <w:bookmarkEnd w:id="448"/>
      <w:bookmarkEnd w:id="449"/>
    </w:p>
    <w:p w14:paraId="757D7702">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各相关部门要按照各自职能，对建筑垃圾产生源头、运输过程、消纳渠道等各个环节落实严密的措施，实施严格的监管。</w:t>
      </w:r>
    </w:p>
    <w:p w14:paraId="066660FA">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450" w:name="_Toc2334"/>
      <w:bookmarkStart w:id="451" w:name="_Toc18389"/>
      <w:bookmarkStart w:id="452" w:name="_Toc21644"/>
      <w:bookmarkStart w:id="453" w:name="_Toc15279"/>
      <w:r>
        <w:rPr>
          <w:rFonts w:hint="eastAsia" w:ascii="楷体_GB2312" w:hAnsi="楷体_GB2312" w:eastAsia="楷体_GB2312" w:cs="楷体_GB2312"/>
          <w:b/>
          <w:bCs/>
          <w:color w:val="auto"/>
          <w:spacing w:val="8"/>
          <w:sz w:val="32"/>
          <w:szCs w:val="32"/>
          <w:lang w:val="en-US" w:eastAsia="zh-CN"/>
        </w:rPr>
        <w:t>（六）生态补偿机制</w:t>
      </w:r>
      <w:bookmarkEnd w:id="450"/>
      <w:bookmarkEnd w:id="451"/>
      <w:bookmarkEnd w:id="452"/>
      <w:bookmarkEnd w:id="453"/>
    </w:p>
    <w:p w14:paraId="44852150">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按照“谁受益、谁补偿，谁受损、谁受偿”的原则，建立建筑垃圾跨区域处置生态保护补偿机制，实行生态补偿机制，制定按量定补方案。</w:t>
      </w:r>
    </w:p>
    <w:p w14:paraId="18275C26">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454" w:name="_Toc29664"/>
      <w:bookmarkStart w:id="455" w:name="_Toc30296"/>
      <w:bookmarkStart w:id="456" w:name="_Toc26344"/>
      <w:bookmarkStart w:id="457" w:name="_Toc32266"/>
      <w:r>
        <w:rPr>
          <w:rFonts w:hint="eastAsia" w:ascii="楷体_GB2312" w:hAnsi="楷体_GB2312" w:eastAsia="楷体_GB2312" w:cs="楷体_GB2312"/>
          <w:b/>
          <w:bCs/>
          <w:color w:val="auto"/>
          <w:spacing w:val="8"/>
          <w:sz w:val="32"/>
          <w:szCs w:val="32"/>
          <w:lang w:val="en-US" w:eastAsia="zh-CN"/>
        </w:rPr>
        <w:t>（七）许可备案机制</w:t>
      </w:r>
      <w:bookmarkEnd w:id="454"/>
      <w:bookmarkEnd w:id="455"/>
      <w:bookmarkEnd w:id="456"/>
      <w:bookmarkEnd w:id="457"/>
    </w:p>
    <w:p w14:paraId="229349E4">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对建筑垃圾资源化利用运输和生产企业进行许可经营，鼓励有实力的企业进入建筑垃圾资源化领域，对具备一定规模的建筑垃圾资源化利用的企业进行财政鼓励补贴提高企业生产的积极性</w:t>
      </w:r>
      <w:r>
        <w:rPr>
          <w:rFonts w:hint="eastAsia" w:ascii="仿宋_GB2312" w:hAnsi="仿宋_GB2312" w:eastAsia="仿宋_GB2312" w:cs="仿宋_GB2312"/>
          <w:color w:val="auto"/>
          <w:spacing w:val="6"/>
          <w:sz w:val="32"/>
          <w:szCs w:val="32"/>
          <w:lang w:eastAsia="zh-CN"/>
        </w:rPr>
        <w:t>；</w:t>
      </w:r>
      <w:r>
        <w:rPr>
          <w:rFonts w:hint="eastAsia" w:ascii="仿宋_GB2312" w:hAnsi="仿宋_GB2312" w:eastAsia="仿宋_GB2312" w:cs="仿宋_GB2312"/>
          <w:color w:val="auto"/>
          <w:spacing w:val="6"/>
          <w:sz w:val="32"/>
          <w:szCs w:val="32"/>
        </w:rPr>
        <w:t>由政府发放经营许可，每五年进行一次资质评估，规范市场监管；对建筑垃圾再生产品在应用层面建立相关制度或政策，保证再生产品能用尽用。</w:t>
      </w:r>
    </w:p>
    <w:p w14:paraId="25B1C7B8">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458" w:name="_Toc20333"/>
      <w:bookmarkStart w:id="459" w:name="_Toc18749"/>
      <w:bookmarkStart w:id="460" w:name="_Toc16293"/>
      <w:bookmarkStart w:id="461" w:name="_Toc8074"/>
      <w:r>
        <w:rPr>
          <w:rFonts w:hint="eastAsia" w:ascii="楷体_GB2312" w:hAnsi="楷体_GB2312" w:eastAsia="楷体_GB2312" w:cs="楷体_GB2312"/>
          <w:b/>
          <w:bCs/>
          <w:color w:val="auto"/>
          <w:spacing w:val="8"/>
          <w:sz w:val="32"/>
          <w:szCs w:val="32"/>
          <w:lang w:val="en-US" w:eastAsia="zh-CN"/>
        </w:rPr>
        <w:t>（八）清运备案卡制度</w:t>
      </w:r>
      <w:bookmarkEnd w:id="458"/>
      <w:bookmarkEnd w:id="459"/>
      <w:bookmarkEnd w:id="460"/>
      <w:bookmarkEnd w:id="461"/>
    </w:p>
    <w:p w14:paraId="02A91766">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建立全</w:t>
      </w:r>
      <w:r>
        <w:rPr>
          <w:rFonts w:hint="eastAsia" w:ascii="仿宋_GB2312" w:hAnsi="仿宋_GB2312" w:eastAsia="仿宋_GB2312" w:cs="仿宋_GB2312"/>
          <w:color w:val="auto"/>
          <w:spacing w:val="6"/>
          <w:sz w:val="32"/>
          <w:szCs w:val="32"/>
          <w:lang w:val="en-US" w:eastAsia="zh-CN"/>
        </w:rPr>
        <w:t>区</w:t>
      </w:r>
      <w:r>
        <w:rPr>
          <w:rFonts w:hint="eastAsia" w:ascii="仿宋_GB2312" w:hAnsi="仿宋_GB2312" w:eastAsia="仿宋_GB2312" w:cs="仿宋_GB2312"/>
          <w:color w:val="auto"/>
          <w:spacing w:val="6"/>
          <w:sz w:val="32"/>
          <w:szCs w:val="32"/>
        </w:rPr>
        <w:t>统一的建筑垃圾清运备案卡制度，注明建筑垃圾的种类、数量、排放方式、装载和消纳地点、行驶线路、运输时间及有效期限，对建筑垃圾运输企业和运输车辆核准备案登记资质，严格管控个人或未经核准备案单位开展建筑垃圾运输。</w:t>
      </w:r>
    </w:p>
    <w:p w14:paraId="6A940BEF">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462" w:name="_Toc8644"/>
      <w:bookmarkStart w:id="463" w:name="_Toc17314"/>
      <w:bookmarkStart w:id="464" w:name="_Toc27617"/>
      <w:bookmarkStart w:id="465" w:name="_Toc14362"/>
      <w:r>
        <w:rPr>
          <w:rFonts w:hint="eastAsia" w:ascii="楷体_GB2312" w:hAnsi="楷体_GB2312" w:eastAsia="楷体_GB2312" w:cs="楷体_GB2312"/>
          <w:b/>
          <w:bCs/>
          <w:color w:val="auto"/>
          <w:spacing w:val="8"/>
          <w:sz w:val="32"/>
          <w:szCs w:val="32"/>
          <w:lang w:val="en-US" w:eastAsia="zh-CN"/>
        </w:rPr>
        <w:t>（九）执法检查制度</w:t>
      </w:r>
      <w:bookmarkEnd w:id="462"/>
      <w:bookmarkEnd w:id="463"/>
      <w:bookmarkEnd w:id="464"/>
      <w:bookmarkEnd w:id="465"/>
    </w:p>
    <w:p w14:paraId="59EF147B">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建立案件查处抄告</w:t>
      </w:r>
      <w:r>
        <w:rPr>
          <w:rFonts w:hint="eastAsia" w:ascii="仿宋_GB2312" w:hAnsi="仿宋_GB2312" w:eastAsia="仿宋_GB2312" w:cs="仿宋_GB2312"/>
          <w:color w:val="auto"/>
          <w:spacing w:val="6"/>
          <w:sz w:val="32"/>
          <w:szCs w:val="32"/>
          <w:lang w:eastAsia="zh-CN"/>
        </w:rPr>
        <w:t>制度</w:t>
      </w:r>
      <w:r>
        <w:rPr>
          <w:rFonts w:hint="eastAsia" w:ascii="仿宋_GB2312" w:hAnsi="仿宋_GB2312" w:eastAsia="仿宋_GB2312" w:cs="仿宋_GB2312"/>
          <w:color w:val="auto"/>
          <w:spacing w:val="6"/>
          <w:sz w:val="32"/>
          <w:szCs w:val="32"/>
        </w:rPr>
        <w:t>，及时梳理造成重大事故及严重违法行为的工程渣土运输车辆等有关信息，并抄告相关部门做好衔接，从重查处。依法倒查违法源头，针对污染严重、情节恶劣、数额巨大的案件要做好案件情节评估，将相关线索及时移交公安部门严肃处理。严肃查处在建筑垃圾消纳处置中不作为、乱作为的单位和个人。建立健全建筑垃圾治理执法检查计划，明确检查的频次、范围、对象和内容，确保对建筑垃圾产生、收集、运输、处置等各个环节的全面监管。对检查发现的违法违规行为和问题，依法予以处理，包括责令停止违法行为、限期整改、处以罚款等措施，并建立违法违规行为的记录和档案，对严重违法违规行为的单位和责任人予以严肃处理。建立监督督导和检查结果反馈机制，加强对执法检查工作的监督和指导，及时向相关部门和单位反馈检查结果和问题，促使整改落实到位。</w:t>
      </w:r>
    </w:p>
    <w:p w14:paraId="3E7B45AC">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466" w:name="_Toc15559"/>
      <w:bookmarkStart w:id="467" w:name="_Toc29882"/>
      <w:bookmarkStart w:id="468" w:name="_Toc21576"/>
      <w:bookmarkStart w:id="469" w:name="_Toc446"/>
      <w:r>
        <w:rPr>
          <w:rFonts w:hint="eastAsia" w:ascii="楷体_GB2312" w:hAnsi="楷体_GB2312" w:eastAsia="楷体_GB2312" w:cs="楷体_GB2312"/>
          <w:b/>
          <w:bCs/>
          <w:color w:val="auto"/>
          <w:spacing w:val="8"/>
          <w:sz w:val="32"/>
          <w:szCs w:val="32"/>
          <w:lang w:val="en-US" w:eastAsia="zh-CN"/>
        </w:rPr>
        <w:t>（十）投诉举报制度</w:t>
      </w:r>
      <w:bookmarkEnd w:id="466"/>
      <w:bookmarkEnd w:id="467"/>
      <w:bookmarkEnd w:id="468"/>
      <w:bookmarkEnd w:id="469"/>
    </w:p>
    <w:p w14:paraId="7D1CCCF0">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城市管理部门应设立建筑垃圾管理违规行为的举报电话和网址，鼓励群众对建筑垃圾偷倒乱倒等违法行为进行监督。</w:t>
      </w:r>
    </w:p>
    <w:p w14:paraId="686515D1">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eastAsia" w:ascii="黑体" w:hAnsi="黑体" w:eastAsia="黑体" w:cs="黑体"/>
          <w:b w:val="0"/>
          <w:bCs w:val="0"/>
          <w:color w:val="auto"/>
          <w:spacing w:val="2"/>
          <w:sz w:val="31"/>
          <w:szCs w:val="31"/>
          <w:lang w:val="en-US" w:eastAsia="zh-CN"/>
        </w:rPr>
      </w:pPr>
      <w:bookmarkStart w:id="470" w:name="_Toc19857"/>
      <w:bookmarkStart w:id="471" w:name="_Toc13114"/>
      <w:bookmarkStart w:id="472" w:name="_Toc3848"/>
      <w:bookmarkStart w:id="473" w:name="_Toc25748"/>
      <w:r>
        <w:rPr>
          <w:rFonts w:hint="eastAsia" w:ascii="黑体" w:hAnsi="黑体" w:eastAsia="黑体" w:cs="黑体"/>
          <w:b w:val="0"/>
          <w:bCs w:val="0"/>
          <w:color w:val="auto"/>
          <w:spacing w:val="2"/>
          <w:sz w:val="31"/>
          <w:szCs w:val="31"/>
          <w:lang w:val="en-US" w:eastAsia="zh-CN"/>
        </w:rPr>
        <w:t>二、部门职责分工</w:t>
      </w:r>
      <w:bookmarkEnd w:id="470"/>
      <w:bookmarkEnd w:id="471"/>
      <w:bookmarkEnd w:id="472"/>
      <w:bookmarkEnd w:id="473"/>
    </w:p>
    <w:p w14:paraId="7C2743FB">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474" w:name="_Toc21854"/>
      <w:bookmarkStart w:id="475" w:name="_Toc10131"/>
      <w:bookmarkStart w:id="476" w:name="_Toc28034"/>
      <w:bookmarkStart w:id="477" w:name="_Toc3803"/>
      <w:r>
        <w:rPr>
          <w:rFonts w:hint="eastAsia" w:ascii="楷体_GB2312" w:hAnsi="楷体_GB2312" w:eastAsia="楷体_GB2312" w:cs="楷体_GB2312"/>
          <w:b/>
          <w:bCs/>
          <w:color w:val="auto"/>
          <w:spacing w:val="8"/>
          <w:sz w:val="32"/>
          <w:szCs w:val="32"/>
          <w:lang w:val="en-US" w:eastAsia="zh-CN"/>
        </w:rPr>
        <w:t>（一）发展改革部门</w:t>
      </w:r>
      <w:bookmarkEnd w:id="474"/>
      <w:bookmarkEnd w:id="475"/>
      <w:bookmarkEnd w:id="476"/>
      <w:bookmarkEnd w:id="477"/>
    </w:p>
    <w:p w14:paraId="3B6D5C5B">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在建筑垃圾资源化利用项目立项方面给予积极支持。</w:t>
      </w:r>
    </w:p>
    <w:p w14:paraId="57584AB4">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478" w:name="_Toc28512"/>
      <w:bookmarkStart w:id="479" w:name="_Toc2923"/>
      <w:bookmarkStart w:id="480" w:name="_Toc26431"/>
      <w:bookmarkStart w:id="481" w:name="_Toc8563"/>
      <w:r>
        <w:rPr>
          <w:rFonts w:hint="eastAsia" w:ascii="楷体_GB2312" w:hAnsi="楷体_GB2312" w:eastAsia="楷体_GB2312" w:cs="楷体_GB2312"/>
          <w:b/>
          <w:bCs/>
          <w:color w:val="auto"/>
          <w:spacing w:val="8"/>
          <w:sz w:val="32"/>
          <w:szCs w:val="32"/>
          <w:lang w:val="en-US" w:eastAsia="zh-CN"/>
        </w:rPr>
        <w:t>（二）自然资源部门</w:t>
      </w:r>
      <w:bookmarkEnd w:id="478"/>
      <w:bookmarkEnd w:id="479"/>
      <w:bookmarkEnd w:id="480"/>
      <w:bookmarkEnd w:id="481"/>
    </w:p>
    <w:p w14:paraId="37F6D1DF">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将建筑垃圾消纳场地的规划和布局纳入国土空间规划及专项规划中。</w:t>
      </w:r>
    </w:p>
    <w:p w14:paraId="3A4E1508">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482" w:name="_Toc27623"/>
      <w:bookmarkStart w:id="483" w:name="_Toc16611"/>
      <w:bookmarkStart w:id="484" w:name="_Toc3221"/>
      <w:bookmarkStart w:id="485" w:name="_Toc28255"/>
      <w:r>
        <w:rPr>
          <w:rFonts w:hint="eastAsia" w:ascii="楷体_GB2312" w:hAnsi="楷体_GB2312" w:eastAsia="楷体_GB2312" w:cs="楷体_GB2312"/>
          <w:b/>
          <w:bCs/>
          <w:color w:val="auto"/>
          <w:spacing w:val="8"/>
          <w:sz w:val="32"/>
          <w:szCs w:val="32"/>
          <w:lang w:val="en-US" w:eastAsia="zh-CN"/>
        </w:rPr>
        <w:t>（三）生态环境部门</w:t>
      </w:r>
      <w:bookmarkEnd w:id="482"/>
      <w:bookmarkEnd w:id="483"/>
      <w:bookmarkEnd w:id="484"/>
      <w:bookmarkEnd w:id="485"/>
    </w:p>
    <w:p w14:paraId="23C9004A">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负责对建筑垃圾处理项目进行环境影响评价的审批；将建筑垃圾治理工作纳入本区域生态环境保护规划</w:t>
      </w:r>
      <w:r>
        <w:rPr>
          <w:rFonts w:hint="eastAsia" w:ascii="仿宋_GB2312" w:hAnsi="仿宋_GB2312" w:eastAsia="仿宋_GB2312" w:cs="仿宋_GB2312"/>
          <w:color w:val="auto"/>
          <w:spacing w:val="6"/>
          <w:sz w:val="32"/>
          <w:szCs w:val="32"/>
          <w:lang w:eastAsia="zh-CN"/>
        </w:rPr>
        <w:t>；对</w:t>
      </w:r>
      <w:r>
        <w:rPr>
          <w:rFonts w:hint="eastAsia" w:ascii="仿宋_GB2312" w:hAnsi="仿宋_GB2312" w:eastAsia="仿宋_GB2312" w:cs="仿宋_GB2312"/>
          <w:color w:val="auto"/>
          <w:spacing w:val="6"/>
          <w:sz w:val="32"/>
          <w:szCs w:val="32"/>
        </w:rPr>
        <w:t>建筑垃圾处理项目环境污染防治情况进行监督检查，依法查处未经审批或备案跨省</w:t>
      </w:r>
      <w:r>
        <w:rPr>
          <w:rFonts w:hint="eastAsia" w:ascii="仿宋_GB2312" w:hAnsi="仿宋_GB2312" w:eastAsia="仿宋_GB2312" w:cs="仿宋_GB2312"/>
          <w:color w:val="auto"/>
          <w:spacing w:val="6"/>
          <w:sz w:val="32"/>
          <w:szCs w:val="32"/>
          <w:lang w:eastAsia="zh-CN"/>
        </w:rPr>
        <w:t>（</w:t>
      </w:r>
      <w:r>
        <w:rPr>
          <w:rFonts w:hint="eastAsia" w:ascii="仿宋_GB2312" w:hAnsi="仿宋_GB2312" w:eastAsia="仿宋_GB2312" w:cs="仿宋_GB2312"/>
          <w:color w:val="auto"/>
          <w:spacing w:val="6"/>
          <w:sz w:val="32"/>
          <w:szCs w:val="32"/>
        </w:rPr>
        <w:t>市</w:t>
      </w:r>
      <w:r>
        <w:rPr>
          <w:rFonts w:hint="eastAsia" w:ascii="仿宋_GB2312" w:hAnsi="仿宋_GB2312" w:eastAsia="仿宋_GB2312" w:cs="仿宋_GB2312"/>
          <w:color w:val="auto"/>
          <w:spacing w:val="6"/>
          <w:sz w:val="32"/>
          <w:szCs w:val="32"/>
          <w:lang w:eastAsia="zh-CN"/>
        </w:rPr>
        <w:t>）</w:t>
      </w:r>
      <w:r>
        <w:rPr>
          <w:rFonts w:hint="eastAsia" w:ascii="仿宋_GB2312" w:hAnsi="仿宋_GB2312" w:eastAsia="仿宋_GB2312" w:cs="仿宋_GB2312"/>
          <w:color w:val="auto"/>
          <w:spacing w:val="6"/>
          <w:sz w:val="32"/>
          <w:szCs w:val="32"/>
        </w:rPr>
        <w:t>际转移建筑垃圾的违法行为，以及土壤检测监管等工作。加快办理符合政策要求和环保准入规定的项目环评审批手续。</w:t>
      </w:r>
    </w:p>
    <w:p w14:paraId="0D5309D4">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486" w:name="_Toc31320"/>
      <w:bookmarkStart w:id="487" w:name="_Toc8292"/>
      <w:bookmarkStart w:id="488" w:name="_Toc4724"/>
      <w:bookmarkStart w:id="489" w:name="_Toc7388"/>
      <w:r>
        <w:rPr>
          <w:rFonts w:hint="eastAsia" w:ascii="楷体_GB2312" w:hAnsi="楷体_GB2312" w:eastAsia="楷体_GB2312" w:cs="楷体_GB2312"/>
          <w:b/>
          <w:bCs/>
          <w:color w:val="auto"/>
          <w:spacing w:val="8"/>
          <w:sz w:val="32"/>
          <w:szCs w:val="32"/>
          <w:lang w:val="en-US" w:eastAsia="zh-CN"/>
        </w:rPr>
        <w:t>（四）住建部门</w:t>
      </w:r>
      <w:bookmarkEnd w:id="486"/>
      <w:bookmarkEnd w:id="487"/>
      <w:bookmarkEnd w:id="488"/>
      <w:bookmarkEnd w:id="489"/>
    </w:p>
    <w:p w14:paraId="1CAA4644">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lang w:eastAsia="zh-CN"/>
        </w:rPr>
      </w:pPr>
      <w:r>
        <w:rPr>
          <w:rFonts w:hint="eastAsia" w:ascii="仿宋_GB2312" w:hAnsi="仿宋_GB2312" w:eastAsia="仿宋_GB2312" w:cs="仿宋_GB2312"/>
          <w:color w:val="auto"/>
          <w:spacing w:val="6"/>
          <w:sz w:val="32"/>
          <w:szCs w:val="32"/>
        </w:rPr>
        <w:t>建筑工地施工管理的主管部门</w:t>
      </w:r>
      <w:r>
        <w:rPr>
          <w:rFonts w:hint="eastAsia" w:ascii="仿宋_GB2312" w:hAnsi="仿宋_GB2312" w:eastAsia="仿宋_GB2312" w:cs="仿宋_GB2312"/>
          <w:color w:val="auto"/>
          <w:spacing w:val="6"/>
          <w:sz w:val="32"/>
          <w:szCs w:val="32"/>
          <w:lang w:eastAsia="zh-CN"/>
        </w:rPr>
        <w:t>。</w:t>
      </w:r>
      <w:r>
        <w:rPr>
          <w:rFonts w:hint="eastAsia" w:ascii="仿宋_GB2312" w:hAnsi="仿宋_GB2312" w:eastAsia="仿宋_GB2312" w:cs="仿宋_GB2312"/>
          <w:color w:val="auto"/>
          <w:spacing w:val="6"/>
          <w:sz w:val="32"/>
          <w:szCs w:val="32"/>
        </w:rPr>
        <w:t>负责对未取得施工许可证进行土石方工程施工的违法行为进行查处；负责对建设工地施工现场的安全文明施工管理，对城区内建设工程施工现场未落实安全文明施工措施的施工单位，依法予以查处；负责对土石方工程施工单位、拆除工程施工单位的资质审查；加强对在建项目建设单位、施工单位和城区住宅小区物业服务企业的管理，告知并督促有建筑垃圾处置需求的单位将建筑垃圾交于名录中的企业运输。配合城管部门对违法违规处置建筑垃圾的单</w:t>
      </w:r>
      <w:r>
        <w:rPr>
          <w:rFonts w:hint="eastAsia" w:ascii="仿宋_GB2312" w:hAnsi="仿宋_GB2312" w:eastAsia="仿宋_GB2312" w:cs="仿宋_GB2312"/>
          <w:color w:val="auto"/>
          <w:spacing w:val="6"/>
          <w:sz w:val="32"/>
          <w:szCs w:val="32"/>
          <w:lang w:eastAsia="zh-CN"/>
        </w:rPr>
        <w:t>位和</w:t>
      </w:r>
      <w:r>
        <w:rPr>
          <w:rFonts w:hint="eastAsia" w:ascii="仿宋_GB2312" w:hAnsi="仿宋_GB2312" w:eastAsia="仿宋_GB2312" w:cs="仿宋_GB2312"/>
          <w:color w:val="auto"/>
          <w:spacing w:val="6"/>
          <w:sz w:val="32"/>
          <w:szCs w:val="32"/>
        </w:rPr>
        <w:t>个人进行查处。做好建筑垃圾收纳场管理，配合街道社区建设居民小区建筑垃圾中转站，加强小区建筑类垃圾的处置管理。针对商铺装饰装修垃圾管理难点，协同市场监管部门，共同加强对限额以下企业、门店装饰装修活动的监管，明确其垃圾处置责任，避免装修垃圾乱堆乱倒。</w:t>
      </w:r>
    </w:p>
    <w:p w14:paraId="63165ABD">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490" w:name="_Toc1970"/>
      <w:bookmarkStart w:id="491" w:name="_Toc905"/>
      <w:bookmarkStart w:id="492" w:name="_Toc10527"/>
      <w:bookmarkStart w:id="493" w:name="_Toc31512"/>
      <w:r>
        <w:rPr>
          <w:rFonts w:hint="eastAsia" w:ascii="楷体_GB2312" w:hAnsi="楷体_GB2312" w:eastAsia="楷体_GB2312" w:cs="楷体_GB2312"/>
          <w:b/>
          <w:bCs/>
          <w:color w:val="auto"/>
          <w:spacing w:val="8"/>
          <w:sz w:val="32"/>
          <w:szCs w:val="32"/>
          <w:lang w:val="en-US" w:eastAsia="zh-CN"/>
        </w:rPr>
        <w:t>（五）城市管理部门</w:t>
      </w:r>
      <w:bookmarkEnd w:id="490"/>
      <w:bookmarkEnd w:id="491"/>
      <w:bookmarkEnd w:id="492"/>
      <w:bookmarkEnd w:id="493"/>
    </w:p>
    <w:p w14:paraId="1B3C64D1">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建筑垃圾处置管理的主管部门</w:t>
      </w:r>
      <w:r>
        <w:rPr>
          <w:rFonts w:hint="eastAsia" w:ascii="仿宋_GB2312" w:hAnsi="仿宋_GB2312" w:eastAsia="仿宋_GB2312" w:cs="仿宋_GB2312"/>
          <w:color w:val="auto"/>
          <w:spacing w:val="6"/>
          <w:sz w:val="32"/>
          <w:szCs w:val="32"/>
          <w:lang w:eastAsia="zh-CN"/>
        </w:rPr>
        <w:t>。</w:t>
      </w:r>
      <w:r>
        <w:rPr>
          <w:rFonts w:hint="eastAsia" w:ascii="仿宋_GB2312" w:hAnsi="仿宋_GB2312" w:eastAsia="仿宋_GB2312" w:cs="仿宋_GB2312"/>
          <w:color w:val="auto"/>
          <w:spacing w:val="6"/>
          <w:sz w:val="32"/>
          <w:szCs w:val="32"/>
        </w:rPr>
        <w:t>负责对处置建筑垃圾的单位进行建筑垃圾处置申请的行政许可，依法对擅自处置和超出核准范围处置建筑垃圾的行为进行查处；负责对运输建筑垃圾的企业进行核准，对施工单位将建筑垃圾运输交给个人或者未经核准从事建筑垃圾运输的单位，依法予以查处；负责对处置建筑垃圾的单位在运输过程中沿途丢弃、遗撒建筑垃圾行为的查处；负责对将建筑垃圾混入生活垃圾、将危险废物混入建筑垃圾、擅自设立弃置场受纳建筑垃圾的行为依法查处；负责对建筑垃圾乱倾倒行为的查处；负责对建筑垃圾运输车辆进行密闭改装和安装行驶及装卸记录仪的审查。</w:t>
      </w:r>
    </w:p>
    <w:p w14:paraId="002E4673">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494" w:name="_Toc545"/>
      <w:bookmarkStart w:id="495" w:name="_Toc27128"/>
      <w:bookmarkStart w:id="496" w:name="_Toc1000"/>
      <w:bookmarkStart w:id="497" w:name="_Toc15829"/>
      <w:r>
        <w:rPr>
          <w:rFonts w:hint="eastAsia" w:ascii="楷体_GB2312" w:hAnsi="楷体_GB2312" w:eastAsia="楷体_GB2312" w:cs="楷体_GB2312"/>
          <w:b/>
          <w:bCs/>
          <w:color w:val="auto"/>
          <w:spacing w:val="8"/>
          <w:sz w:val="32"/>
          <w:szCs w:val="32"/>
          <w:lang w:val="en-US" w:eastAsia="zh-CN"/>
        </w:rPr>
        <w:t>（六）交通运输部门</w:t>
      </w:r>
      <w:bookmarkEnd w:id="494"/>
      <w:bookmarkEnd w:id="495"/>
      <w:bookmarkEnd w:id="496"/>
      <w:bookmarkEnd w:id="497"/>
    </w:p>
    <w:p w14:paraId="69DC76F3">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建筑垃圾营运车辆运输管理的主管部门</w:t>
      </w:r>
      <w:r>
        <w:rPr>
          <w:rFonts w:hint="eastAsia" w:ascii="仿宋_GB2312" w:hAnsi="仿宋_GB2312" w:eastAsia="仿宋_GB2312" w:cs="仿宋_GB2312"/>
          <w:color w:val="auto"/>
          <w:spacing w:val="6"/>
          <w:sz w:val="32"/>
          <w:szCs w:val="32"/>
          <w:lang w:eastAsia="zh-CN"/>
        </w:rPr>
        <w:t>。</w:t>
      </w:r>
      <w:r>
        <w:rPr>
          <w:rFonts w:hint="eastAsia" w:ascii="仿宋_GB2312" w:hAnsi="仿宋_GB2312" w:eastAsia="仿宋_GB2312" w:cs="仿宋_GB2312"/>
          <w:color w:val="auto"/>
          <w:spacing w:val="6"/>
          <w:sz w:val="32"/>
          <w:szCs w:val="32"/>
        </w:rPr>
        <w:t>负责</w:t>
      </w:r>
      <w:r>
        <w:rPr>
          <w:rFonts w:hint="eastAsia" w:ascii="仿宋_GB2312" w:hAnsi="仿宋_GB2312" w:eastAsia="仿宋_GB2312" w:cs="仿宋_GB2312"/>
          <w:color w:val="auto"/>
          <w:spacing w:val="6"/>
          <w:sz w:val="32"/>
          <w:szCs w:val="32"/>
          <w:lang w:val="en-US" w:eastAsia="zh-CN"/>
        </w:rPr>
        <w:t>协调张掖市交通运输综合行政执法队</w:t>
      </w:r>
      <w:r>
        <w:rPr>
          <w:rFonts w:hint="eastAsia" w:ascii="仿宋_GB2312" w:hAnsi="仿宋_GB2312" w:eastAsia="仿宋_GB2312" w:cs="仿宋_GB2312"/>
          <w:color w:val="auto"/>
          <w:spacing w:val="6"/>
          <w:sz w:val="32"/>
          <w:szCs w:val="32"/>
        </w:rPr>
        <w:t>对建筑垃圾营运车辆的驾驶员、建筑垃圾运输车辆和运输企业道路运输经营资质的审核，对未依法获得道路运输经营许可证、道路运输证从事建筑垃圾运输经营活动的建筑垃圾运输企业、运输车辆实施查处，对未依法获得道路运输管理机构颁发的货运从业资格证驾驶建筑垃圾营运车辆的驾驶员实施查处；对建筑垃圾营运车辆经营活动的监督管理，依法对不按规定维护和检测建筑垃圾营运车辆、擅自改装已取得道路运输证的建筑垃圾营运车辆等行为进行查处。</w:t>
      </w:r>
    </w:p>
    <w:p w14:paraId="4E72568E">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498" w:name="_Toc7457"/>
      <w:bookmarkStart w:id="499" w:name="_Toc29449"/>
      <w:bookmarkStart w:id="500" w:name="_Toc30772"/>
      <w:bookmarkStart w:id="501" w:name="_Toc25616"/>
      <w:r>
        <w:rPr>
          <w:rFonts w:hint="eastAsia" w:ascii="楷体_GB2312" w:hAnsi="楷体_GB2312" w:eastAsia="楷体_GB2312" w:cs="楷体_GB2312"/>
          <w:b/>
          <w:bCs/>
          <w:color w:val="auto"/>
          <w:spacing w:val="8"/>
          <w:sz w:val="32"/>
          <w:szCs w:val="32"/>
          <w:lang w:val="en-US" w:eastAsia="zh-CN"/>
        </w:rPr>
        <w:t>（七）公安部门</w:t>
      </w:r>
      <w:bookmarkEnd w:id="498"/>
      <w:bookmarkEnd w:id="499"/>
      <w:bookmarkEnd w:id="500"/>
      <w:bookmarkEnd w:id="501"/>
    </w:p>
    <w:p w14:paraId="5B6929A4">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default" w:ascii="仿宋_GB2312" w:hAnsi="仿宋_GB2312" w:eastAsia="仿宋_GB2312" w:cs="仿宋_GB2312"/>
          <w:color w:val="auto"/>
          <w:spacing w:val="6"/>
          <w:sz w:val="32"/>
          <w:szCs w:val="32"/>
          <w:lang w:eastAsia="zh-CN"/>
        </w:rPr>
      </w:pPr>
      <w:r>
        <w:rPr>
          <w:rFonts w:hint="default" w:ascii="仿宋_GB2312" w:hAnsi="仿宋_GB2312" w:eastAsia="仿宋_GB2312" w:cs="仿宋_GB2312"/>
          <w:color w:val="auto"/>
          <w:spacing w:val="6"/>
          <w:sz w:val="32"/>
          <w:szCs w:val="32"/>
          <w:lang w:eastAsia="zh-CN"/>
        </w:rPr>
        <w:t>建筑垃圾运输车辆及驾驶人资格审查的主管部门</w:t>
      </w:r>
      <w:r>
        <w:rPr>
          <w:rFonts w:hint="eastAsia" w:ascii="仿宋_GB2312" w:hAnsi="仿宋_GB2312" w:eastAsia="仿宋_GB2312" w:cs="仿宋_GB2312"/>
          <w:color w:val="auto"/>
          <w:spacing w:val="6"/>
          <w:sz w:val="32"/>
          <w:szCs w:val="32"/>
          <w:lang w:eastAsia="zh-CN"/>
        </w:rPr>
        <w:t>。</w:t>
      </w:r>
      <w:r>
        <w:rPr>
          <w:rFonts w:hint="default" w:ascii="仿宋_GB2312" w:hAnsi="仿宋_GB2312" w:eastAsia="仿宋_GB2312" w:cs="仿宋_GB2312"/>
          <w:color w:val="auto"/>
          <w:spacing w:val="6"/>
          <w:sz w:val="32"/>
          <w:szCs w:val="32"/>
          <w:lang w:eastAsia="zh-CN"/>
        </w:rPr>
        <w:t>为城管部门核准的合规公司化运营车辆，统一外观标识、分配专用号段并监督放大号牌</w:t>
      </w:r>
      <w:r>
        <w:rPr>
          <w:rFonts w:hint="eastAsia" w:ascii="仿宋_GB2312" w:hAnsi="仿宋_GB2312" w:eastAsia="仿宋_GB2312" w:cs="仿宋_GB2312"/>
          <w:color w:val="auto"/>
          <w:spacing w:val="6"/>
          <w:sz w:val="32"/>
          <w:szCs w:val="32"/>
          <w:lang w:eastAsia="zh-CN"/>
        </w:rPr>
        <w:t>；在</w:t>
      </w:r>
      <w:r>
        <w:rPr>
          <w:rFonts w:hint="default" w:ascii="仿宋_GB2312" w:hAnsi="仿宋_GB2312" w:eastAsia="仿宋_GB2312" w:cs="仿宋_GB2312"/>
          <w:color w:val="auto"/>
          <w:spacing w:val="6"/>
          <w:sz w:val="32"/>
          <w:szCs w:val="32"/>
          <w:lang w:eastAsia="zh-CN"/>
        </w:rPr>
        <w:t>路面执法时核验设备状态。牵头实行城区运输通行证制度，凭城管部门资质证明，结合交通流量设定禁限行路段、审核运输时间路线后核发证件。路面执法中，查处车辆不按规定行驶、遗洒载物等行为，</w:t>
      </w:r>
      <w:r>
        <w:rPr>
          <w:rFonts w:hint="eastAsia" w:ascii="仿宋_GB2312" w:hAnsi="仿宋_GB2312" w:eastAsia="仿宋_GB2312" w:cs="仿宋_GB2312"/>
          <w:color w:val="auto"/>
          <w:spacing w:val="6"/>
          <w:sz w:val="32"/>
          <w:szCs w:val="32"/>
          <w:lang w:val="en-US" w:eastAsia="zh-CN"/>
        </w:rPr>
        <w:t>管理</w:t>
      </w:r>
      <w:r>
        <w:rPr>
          <w:rFonts w:hint="default" w:ascii="仿宋_GB2312" w:hAnsi="仿宋_GB2312" w:eastAsia="仿宋_GB2312" w:cs="仿宋_GB2312"/>
          <w:color w:val="auto"/>
          <w:spacing w:val="6"/>
          <w:sz w:val="32"/>
          <w:szCs w:val="32"/>
          <w:lang w:eastAsia="zh-CN"/>
        </w:rPr>
        <w:t>动态超载</w:t>
      </w:r>
      <w:r>
        <w:rPr>
          <w:rFonts w:hint="eastAsia" w:ascii="仿宋_GB2312" w:hAnsi="仿宋_GB2312" w:eastAsia="仿宋_GB2312" w:cs="仿宋_GB2312"/>
          <w:color w:val="auto"/>
          <w:spacing w:val="6"/>
          <w:sz w:val="32"/>
          <w:szCs w:val="32"/>
          <w:lang w:val="en-US" w:eastAsia="zh-CN"/>
        </w:rPr>
        <w:t>问题</w:t>
      </w:r>
      <w:r>
        <w:rPr>
          <w:rFonts w:hint="default" w:ascii="仿宋_GB2312" w:hAnsi="仿宋_GB2312" w:eastAsia="仿宋_GB2312" w:cs="仿宋_GB2312"/>
          <w:color w:val="auto"/>
          <w:spacing w:val="6"/>
          <w:sz w:val="32"/>
          <w:szCs w:val="32"/>
          <w:lang w:eastAsia="zh-CN"/>
        </w:rPr>
        <w:t>；同时与城管、交通部门共享车辆资质、通行证及违法记录，形成管理合力。​</w:t>
      </w:r>
    </w:p>
    <w:p w14:paraId="2901C0A5">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eastAsia" w:ascii="黑体" w:hAnsi="黑体" w:eastAsia="黑体" w:cs="黑体"/>
          <w:b w:val="0"/>
          <w:bCs w:val="0"/>
          <w:color w:val="auto"/>
          <w:spacing w:val="2"/>
          <w:sz w:val="31"/>
          <w:szCs w:val="31"/>
          <w:lang w:val="en-US" w:eastAsia="zh-CN"/>
        </w:rPr>
      </w:pPr>
      <w:bookmarkStart w:id="502" w:name="_Toc31530"/>
      <w:bookmarkStart w:id="503" w:name="_Toc7755"/>
      <w:bookmarkStart w:id="504" w:name="_Toc25418"/>
      <w:bookmarkStart w:id="505" w:name="_Toc13848"/>
      <w:r>
        <w:rPr>
          <w:rFonts w:hint="eastAsia" w:ascii="黑体" w:hAnsi="黑体" w:eastAsia="黑体" w:cs="黑体"/>
          <w:b w:val="0"/>
          <w:bCs w:val="0"/>
          <w:color w:val="auto"/>
          <w:spacing w:val="2"/>
          <w:sz w:val="31"/>
          <w:szCs w:val="31"/>
          <w:lang w:val="en-US" w:eastAsia="zh-CN"/>
        </w:rPr>
        <w:t>三、数字化</w:t>
      </w:r>
      <w:bookmarkEnd w:id="502"/>
      <w:bookmarkEnd w:id="503"/>
      <w:bookmarkEnd w:id="504"/>
      <w:r>
        <w:rPr>
          <w:rFonts w:hint="eastAsia" w:ascii="黑体" w:hAnsi="黑体" w:eastAsia="黑体" w:cs="黑体"/>
          <w:b w:val="0"/>
          <w:bCs w:val="0"/>
          <w:color w:val="auto"/>
          <w:spacing w:val="2"/>
          <w:sz w:val="31"/>
          <w:szCs w:val="31"/>
          <w:lang w:val="en-US" w:eastAsia="zh-CN"/>
        </w:rPr>
        <w:t>管理</w:t>
      </w:r>
      <w:bookmarkEnd w:id="505"/>
    </w:p>
    <w:p w14:paraId="44080AEE">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506" w:name="_Toc21988"/>
      <w:bookmarkStart w:id="507" w:name="_Toc22552"/>
      <w:bookmarkStart w:id="508" w:name="_Toc6854"/>
      <w:bookmarkStart w:id="509" w:name="_Toc461"/>
      <w:r>
        <w:rPr>
          <w:rFonts w:hint="eastAsia" w:ascii="楷体_GB2312" w:hAnsi="楷体_GB2312" w:eastAsia="楷体_GB2312" w:cs="楷体_GB2312"/>
          <w:b/>
          <w:bCs/>
          <w:color w:val="auto"/>
          <w:spacing w:val="8"/>
          <w:sz w:val="32"/>
          <w:szCs w:val="32"/>
          <w:lang w:val="en-US" w:eastAsia="zh-CN"/>
        </w:rPr>
        <w:t>（一）建筑垃圾全过程监管体系</w:t>
      </w:r>
      <w:bookmarkEnd w:id="506"/>
      <w:bookmarkEnd w:id="507"/>
      <w:bookmarkEnd w:id="508"/>
      <w:bookmarkEnd w:id="509"/>
    </w:p>
    <w:p w14:paraId="0F908F58">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建立健全动态、闭合的建筑垃圾及存量建筑垃圾治理全过程监管制度，构建建筑垃圾的智能监管系统。实行排放、运输、资源化和消纳处置行为的核准，企业网上申报资料，住建</w:t>
      </w:r>
      <w:r>
        <w:rPr>
          <w:rFonts w:hint="eastAsia" w:ascii="仿宋_GB2312" w:hAnsi="仿宋_GB2312" w:eastAsia="仿宋_GB2312" w:cs="仿宋_GB2312"/>
          <w:color w:val="auto"/>
          <w:spacing w:val="6"/>
          <w:sz w:val="32"/>
          <w:szCs w:val="32"/>
          <w:lang w:eastAsia="zh-CN"/>
        </w:rPr>
        <w:t>、</w:t>
      </w:r>
      <w:r>
        <w:rPr>
          <w:rFonts w:hint="eastAsia" w:ascii="仿宋_GB2312" w:hAnsi="仿宋_GB2312" w:eastAsia="仿宋_GB2312" w:cs="仿宋_GB2312"/>
          <w:color w:val="auto"/>
          <w:spacing w:val="6"/>
          <w:sz w:val="32"/>
          <w:szCs w:val="32"/>
        </w:rPr>
        <w:t>城市管理、交警、交通运输、自然资源、生态环境等相关部门在线办公、联审联批。</w:t>
      </w:r>
    </w:p>
    <w:p w14:paraId="7D4449EE">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510" w:name="_Toc28641"/>
      <w:bookmarkStart w:id="511" w:name="_Toc30146"/>
      <w:bookmarkStart w:id="512" w:name="_Toc14078"/>
      <w:bookmarkStart w:id="513" w:name="_Toc20838"/>
      <w:r>
        <w:rPr>
          <w:rFonts w:hint="eastAsia" w:ascii="楷体_GB2312" w:hAnsi="楷体_GB2312" w:eastAsia="楷体_GB2312" w:cs="楷体_GB2312"/>
          <w:b/>
          <w:bCs/>
          <w:color w:val="auto"/>
          <w:spacing w:val="8"/>
          <w:sz w:val="32"/>
          <w:szCs w:val="32"/>
          <w:lang w:val="en-US" w:eastAsia="zh-CN"/>
        </w:rPr>
        <w:t>（二）建筑垃圾综合信息管理平台</w:t>
      </w:r>
      <w:bookmarkEnd w:id="510"/>
      <w:bookmarkEnd w:id="511"/>
      <w:bookmarkEnd w:id="512"/>
      <w:bookmarkEnd w:id="513"/>
    </w:p>
    <w:p w14:paraId="4DB13231">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采集相关企业、运输车辆和处置设施等静态信息，以及建筑垃圾产生、收集、分类、运输、资源化及消纳处置全过程的动态信息，将其进行储存和大数据分析、处理，构建建筑垃圾云数据中心。建设综合信息管理平台，为企业提供产品宣传、服务通道。</w:t>
      </w:r>
    </w:p>
    <w:p w14:paraId="0C1BDB6D">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514" w:name="_Toc19959"/>
      <w:bookmarkStart w:id="515" w:name="_Toc15676"/>
      <w:bookmarkStart w:id="516" w:name="_Toc30801"/>
      <w:bookmarkStart w:id="517" w:name="_Toc15798"/>
      <w:r>
        <w:rPr>
          <w:rFonts w:hint="eastAsia" w:ascii="楷体_GB2312" w:hAnsi="楷体_GB2312" w:eastAsia="楷体_GB2312" w:cs="楷体_GB2312"/>
          <w:b/>
          <w:bCs/>
          <w:color w:val="auto"/>
          <w:spacing w:val="8"/>
          <w:sz w:val="32"/>
          <w:szCs w:val="32"/>
          <w:lang w:val="en-US" w:eastAsia="zh-CN"/>
        </w:rPr>
        <w:t>（三）在线交易服务和资金监管平台</w:t>
      </w:r>
      <w:bookmarkEnd w:id="514"/>
      <w:bookmarkEnd w:id="515"/>
      <w:bookmarkEnd w:id="516"/>
      <w:bookmarkEnd w:id="517"/>
    </w:p>
    <w:p w14:paraId="393C7BFA">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提供建筑垃圾和再生产品的网上供需交易服务，通过市场调节建筑垃圾排放和再生产品种类，供需平衡，减少多次运输造成的污染。同时建立建筑垃圾产生方、运输方、处置方和监管方的联动机制。产生方将建筑垃圾处置费纳入工程预算并预交到监管方开设的专用账户，运输方或处置方承担运输或处置业务后，经产生方、监管方审核同意后将费用支付给运输方或处置方。</w:t>
      </w:r>
    </w:p>
    <w:p w14:paraId="216B57DE">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518" w:name="_Toc27441"/>
      <w:bookmarkStart w:id="519" w:name="_Toc6744"/>
      <w:bookmarkStart w:id="520" w:name="_Toc15502"/>
      <w:bookmarkStart w:id="521" w:name="_Toc21556"/>
      <w:r>
        <w:rPr>
          <w:rFonts w:hint="eastAsia" w:ascii="楷体_GB2312" w:hAnsi="楷体_GB2312" w:eastAsia="楷体_GB2312" w:cs="楷体_GB2312"/>
          <w:b/>
          <w:bCs/>
          <w:color w:val="auto"/>
          <w:spacing w:val="8"/>
          <w:sz w:val="32"/>
          <w:szCs w:val="32"/>
          <w:lang w:val="en-US" w:eastAsia="zh-CN"/>
        </w:rPr>
        <w:t>（四）资源化利用综合评价系统</w:t>
      </w:r>
      <w:bookmarkEnd w:id="518"/>
      <w:bookmarkEnd w:id="519"/>
      <w:bookmarkEnd w:id="520"/>
      <w:bookmarkEnd w:id="521"/>
    </w:p>
    <w:p w14:paraId="7613DB04">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确定不同阶段的评价指标，建立评估模型。对</w:t>
      </w:r>
      <w:r>
        <w:rPr>
          <w:rFonts w:hint="eastAsia" w:ascii="仿宋_GB2312" w:hAnsi="仿宋_GB2312" w:eastAsia="仿宋_GB2312" w:cs="仿宋_GB2312"/>
          <w:color w:val="auto"/>
          <w:spacing w:val="6"/>
          <w:sz w:val="32"/>
          <w:szCs w:val="32"/>
          <w:lang w:eastAsia="zh-CN"/>
        </w:rPr>
        <w:t>甘州区</w:t>
      </w:r>
      <w:r>
        <w:rPr>
          <w:rFonts w:hint="eastAsia" w:ascii="仿宋_GB2312" w:hAnsi="仿宋_GB2312" w:eastAsia="仿宋_GB2312" w:cs="仿宋_GB2312"/>
          <w:color w:val="auto"/>
          <w:spacing w:val="6"/>
          <w:sz w:val="32"/>
          <w:szCs w:val="32"/>
        </w:rPr>
        <w:t>资源化利用不同阶段的建设情况和成效进行数据分析及跟踪评价，指导地方对标检查、改进提升。开展安全风险和环境影响评估，进行风险评估和预警系统的研发，对各个阶段的环境污染和安全隐患进行持续监测和预警，实现全过程无害化的跟踪服务。</w:t>
      </w:r>
    </w:p>
    <w:p w14:paraId="58FFBA2E">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eastAsia" w:ascii="黑体" w:hAnsi="黑体" w:eastAsia="黑体" w:cs="黑体"/>
          <w:b w:val="0"/>
          <w:bCs w:val="0"/>
          <w:color w:val="auto"/>
          <w:spacing w:val="2"/>
          <w:sz w:val="31"/>
          <w:szCs w:val="31"/>
          <w:lang w:val="en-US" w:eastAsia="zh-CN"/>
        </w:rPr>
      </w:pPr>
      <w:bookmarkStart w:id="522" w:name="_Toc29471"/>
      <w:bookmarkStart w:id="523" w:name="_Toc11801"/>
      <w:bookmarkStart w:id="524" w:name="_Toc7103"/>
      <w:bookmarkStart w:id="525" w:name="_Toc22429"/>
      <w:r>
        <w:rPr>
          <w:rFonts w:hint="eastAsia" w:ascii="黑体" w:hAnsi="黑体" w:eastAsia="黑体" w:cs="黑体"/>
          <w:b w:val="0"/>
          <w:bCs w:val="0"/>
          <w:color w:val="auto"/>
          <w:spacing w:val="2"/>
          <w:sz w:val="31"/>
          <w:szCs w:val="31"/>
          <w:lang w:val="en-US" w:eastAsia="zh-CN"/>
        </w:rPr>
        <w:t>四、突发事件应急预案</w:t>
      </w:r>
      <w:bookmarkEnd w:id="522"/>
      <w:bookmarkEnd w:id="523"/>
      <w:bookmarkEnd w:id="524"/>
      <w:bookmarkEnd w:id="525"/>
    </w:p>
    <w:p w14:paraId="5B3EF8B3">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526" w:name="_Toc11419"/>
      <w:bookmarkStart w:id="527" w:name="_Toc2760"/>
      <w:bookmarkStart w:id="528" w:name="_Toc2068"/>
      <w:bookmarkStart w:id="529" w:name="_Toc9552"/>
      <w:r>
        <w:rPr>
          <w:rFonts w:hint="eastAsia" w:ascii="楷体_GB2312" w:hAnsi="楷体_GB2312" w:eastAsia="楷体_GB2312" w:cs="楷体_GB2312"/>
          <w:b/>
          <w:bCs/>
          <w:color w:val="auto"/>
          <w:spacing w:val="8"/>
          <w:sz w:val="32"/>
          <w:szCs w:val="32"/>
          <w:lang w:val="en-US" w:eastAsia="zh-CN"/>
        </w:rPr>
        <w:t>（一）制定原则</w:t>
      </w:r>
      <w:bookmarkEnd w:id="526"/>
      <w:bookmarkEnd w:id="527"/>
      <w:bookmarkEnd w:id="528"/>
      <w:bookmarkEnd w:id="529"/>
    </w:p>
    <w:p w14:paraId="23675F1A">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7"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b/>
          <w:bCs/>
          <w:color w:val="auto"/>
          <w:spacing w:val="6"/>
          <w:sz w:val="32"/>
          <w:szCs w:val="32"/>
        </w:rPr>
        <w:t>以人为本，预防为主。</w:t>
      </w:r>
      <w:r>
        <w:rPr>
          <w:rFonts w:hint="eastAsia" w:ascii="仿宋_GB2312" w:hAnsi="仿宋_GB2312" w:eastAsia="仿宋_GB2312" w:cs="仿宋_GB2312"/>
          <w:color w:val="auto"/>
          <w:spacing w:val="6"/>
          <w:sz w:val="32"/>
          <w:szCs w:val="32"/>
        </w:rPr>
        <w:t>加强对建筑垃圾处理突发事件的风险源的监督管理，落实企业主体责任，提高防范和处置能力。</w:t>
      </w:r>
      <w:r>
        <w:rPr>
          <w:rFonts w:hint="eastAsia" w:ascii="仿宋_GB2312" w:hAnsi="仿宋_GB2312" w:eastAsia="仿宋_GB2312" w:cs="仿宋_GB2312"/>
          <w:b/>
          <w:bCs/>
          <w:color w:val="auto"/>
          <w:spacing w:val="6"/>
          <w:sz w:val="32"/>
          <w:szCs w:val="32"/>
        </w:rPr>
        <w:t>统一领导，分级负责。</w:t>
      </w:r>
      <w:r>
        <w:rPr>
          <w:rFonts w:hint="eastAsia" w:ascii="仿宋_GB2312" w:hAnsi="仿宋_GB2312" w:eastAsia="仿宋_GB2312" w:cs="仿宋_GB2312"/>
          <w:color w:val="auto"/>
          <w:spacing w:val="6"/>
          <w:sz w:val="32"/>
          <w:szCs w:val="32"/>
        </w:rPr>
        <w:t>建立区</w:t>
      </w:r>
      <w:r>
        <w:rPr>
          <w:rFonts w:hint="eastAsia" w:ascii="仿宋_GB2312" w:hAnsi="仿宋_GB2312" w:eastAsia="仿宋_GB2312" w:cs="仿宋_GB2312"/>
          <w:color w:val="auto"/>
          <w:spacing w:val="6"/>
          <w:sz w:val="32"/>
          <w:szCs w:val="32"/>
          <w:lang w:eastAsia="zh-CN"/>
        </w:rPr>
        <w:t>、</w:t>
      </w:r>
      <w:r>
        <w:rPr>
          <w:rFonts w:hint="eastAsia" w:ascii="仿宋_GB2312" w:hAnsi="仿宋_GB2312" w:eastAsia="仿宋_GB2312" w:cs="仿宋_GB2312"/>
          <w:color w:val="auto"/>
          <w:spacing w:val="6"/>
          <w:sz w:val="32"/>
          <w:szCs w:val="32"/>
          <w:lang w:val="en-US" w:eastAsia="zh-CN"/>
        </w:rPr>
        <w:t>街道（乡镇）</w:t>
      </w:r>
      <w:r>
        <w:rPr>
          <w:rFonts w:hint="eastAsia" w:ascii="仿宋_GB2312" w:hAnsi="仿宋_GB2312" w:eastAsia="仿宋_GB2312" w:cs="仿宋_GB2312"/>
          <w:color w:val="auto"/>
          <w:spacing w:val="6"/>
          <w:sz w:val="32"/>
          <w:szCs w:val="32"/>
        </w:rPr>
        <w:t>两级建筑垃圾处理突发事件应急指挥体系，形成统一指挥、分级负责、综合协调、逐级提升的突发事件应对机制。</w:t>
      </w:r>
      <w:r>
        <w:rPr>
          <w:rFonts w:hint="eastAsia" w:ascii="仿宋_GB2312" w:hAnsi="仿宋_GB2312" w:eastAsia="仿宋_GB2312" w:cs="仿宋_GB2312"/>
          <w:b/>
          <w:bCs/>
          <w:color w:val="auto"/>
          <w:spacing w:val="6"/>
          <w:sz w:val="32"/>
          <w:szCs w:val="32"/>
        </w:rPr>
        <w:t>快速反应，科学处置。</w:t>
      </w:r>
      <w:r>
        <w:rPr>
          <w:rFonts w:hint="eastAsia" w:ascii="仿宋_GB2312" w:hAnsi="仿宋_GB2312" w:eastAsia="仿宋_GB2312" w:cs="仿宋_GB2312"/>
          <w:color w:val="auto"/>
          <w:spacing w:val="6"/>
          <w:sz w:val="32"/>
          <w:szCs w:val="32"/>
        </w:rPr>
        <w:t>建立健全建筑垃圾处理突发事件应急预案，确保在突发事件发生时，能够迅速采取有效措施，最大限度地减少损失。</w:t>
      </w:r>
    </w:p>
    <w:p w14:paraId="2AF8A8A9">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530" w:name="_Toc8533"/>
      <w:bookmarkStart w:id="531" w:name="_Toc6086"/>
      <w:bookmarkStart w:id="532" w:name="_Toc23324"/>
      <w:bookmarkStart w:id="533" w:name="_Toc13389"/>
      <w:r>
        <w:rPr>
          <w:rFonts w:hint="eastAsia" w:ascii="楷体_GB2312" w:hAnsi="楷体_GB2312" w:eastAsia="楷体_GB2312" w:cs="楷体_GB2312"/>
          <w:b/>
          <w:bCs/>
          <w:color w:val="auto"/>
          <w:spacing w:val="8"/>
          <w:sz w:val="32"/>
          <w:szCs w:val="32"/>
          <w:lang w:val="en-US" w:eastAsia="zh-CN"/>
        </w:rPr>
        <w:t>（二）响应程序</w:t>
      </w:r>
      <w:bookmarkEnd w:id="530"/>
      <w:bookmarkEnd w:id="531"/>
      <w:bookmarkEnd w:id="532"/>
      <w:bookmarkEnd w:id="533"/>
    </w:p>
    <w:p w14:paraId="3417D1C3">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按照“发现事故和事故征兆</w:t>
      </w:r>
      <w:r>
        <w:rPr>
          <w:rFonts w:hint="eastAsia" w:ascii="仿宋_GB2312" w:hAnsi="仿宋_GB2312" w:eastAsia="仿宋_GB2312" w:cs="仿宋_GB2312"/>
          <w:color w:val="auto"/>
          <w:spacing w:val="6"/>
          <w:sz w:val="32"/>
          <w:szCs w:val="32"/>
          <w:lang w:eastAsia="zh-CN"/>
        </w:rPr>
        <w:t>—</w:t>
      </w:r>
      <w:r>
        <w:rPr>
          <w:rFonts w:hint="eastAsia" w:ascii="仿宋_GB2312" w:hAnsi="仿宋_GB2312" w:eastAsia="仿宋_GB2312" w:cs="仿宋_GB2312"/>
          <w:color w:val="auto"/>
          <w:spacing w:val="6"/>
          <w:sz w:val="32"/>
          <w:szCs w:val="32"/>
        </w:rPr>
        <w:t>报警</w:t>
      </w:r>
      <w:r>
        <w:rPr>
          <w:rFonts w:hint="eastAsia" w:ascii="仿宋_GB2312" w:hAnsi="仿宋_GB2312" w:eastAsia="仿宋_GB2312" w:cs="仿宋_GB2312"/>
          <w:color w:val="auto"/>
          <w:spacing w:val="6"/>
          <w:sz w:val="32"/>
          <w:szCs w:val="32"/>
          <w:lang w:eastAsia="zh-CN"/>
        </w:rPr>
        <w:t>—</w:t>
      </w:r>
      <w:r>
        <w:rPr>
          <w:rFonts w:hint="eastAsia" w:ascii="仿宋_GB2312" w:hAnsi="仿宋_GB2312" w:eastAsia="仿宋_GB2312" w:cs="仿宋_GB2312"/>
          <w:color w:val="auto"/>
          <w:spacing w:val="6"/>
          <w:sz w:val="32"/>
          <w:szCs w:val="32"/>
        </w:rPr>
        <w:t>接报</w:t>
      </w:r>
      <w:r>
        <w:rPr>
          <w:rFonts w:hint="eastAsia" w:ascii="仿宋_GB2312" w:hAnsi="仿宋_GB2312" w:eastAsia="仿宋_GB2312" w:cs="仿宋_GB2312"/>
          <w:color w:val="auto"/>
          <w:spacing w:val="6"/>
          <w:sz w:val="32"/>
          <w:szCs w:val="32"/>
          <w:lang w:eastAsia="zh-CN"/>
        </w:rPr>
        <w:t>—</w:t>
      </w:r>
      <w:r>
        <w:rPr>
          <w:rFonts w:hint="eastAsia" w:ascii="仿宋_GB2312" w:hAnsi="仿宋_GB2312" w:eastAsia="仿宋_GB2312" w:cs="仿宋_GB2312"/>
          <w:color w:val="auto"/>
          <w:spacing w:val="6"/>
          <w:sz w:val="32"/>
          <w:szCs w:val="32"/>
        </w:rPr>
        <w:t>发出命令</w:t>
      </w:r>
      <w:r>
        <w:rPr>
          <w:rFonts w:hint="eastAsia" w:ascii="仿宋_GB2312" w:hAnsi="仿宋_GB2312" w:eastAsia="仿宋_GB2312" w:cs="仿宋_GB2312"/>
          <w:color w:val="auto"/>
          <w:spacing w:val="6"/>
          <w:sz w:val="32"/>
          <w:szCs w:val="32"/>
          <w:lang w:eastAsia="zh-CN"/>
        </w:rPr>
        <w:t>—</w:t>
      </w:r>
      <w:r>
        <w:rPr>
          <w:rFonts w:hint="eastAsia" w:ascii="仿宋_GB2312" w:hAnsi="仿宋_GB2312" w:eastAsia="仿宋_GB2312" w:cs="仿宋_GB2312"/>
          <w:color w:val="auto"/>
          <w:spacing w:val="6"/>
          <w:sz w:val="32"/>
          <w:szCs w:val="32"/>
        </w:rPr>
        <w:t>开始救援</w:t>
      </w:r>
      <w:r>
        <w:rPr>
          <w:rFonts w:hint="eastAsia" w:ascii="仿宋_GB2312" w:hAnsi="仿宋_GB2312" w:eastAsia="仿宋_GB2312" w:cs="仿宋_GB2312"/>
          <w:color w:val="auto"/>
          <w:spacing w:val="6"/>
          <w:sz w:val="32"/>
          <w:szCs w:val="32"/>
          <w:lang w:eastAsia="zh-CN"/>
        </w:rPr>
        <w:t>—</w:t>
      </w:r>
      <w:r>
        <w:rPr>
          <w:rFonts w:hint="eastAsia" w:ascii="仿宋_GB2312" w:hAnsi="仿宋_GB2312" w:eastAsia="仿宋_GB2312" w:cs="仿宋_GB2312"/>
          <w:color w:val="auto"/>
          <w:spacing w:val="6"/>
          <w:sz w:val="32"/>
          <w:szCs w:val="32"/>
        </w:rPr>
        <w:t>现场处置</w:t>
      </w:r>
      <w:r>
        <w:rPr>
          <w:rFonts w:hint="eastAsia" w:ascii="仿宋_GB2312" w:hAnsi="仿宋_GB2312" w:eastAsia="仿宋_GB2312" w:cs="仿宋_GB2312"/>
          <w:color w:val="auto"/>
          <w:spacing w:val="6"/>
          <w:sz w:val="32"/>
          <w:szCs w:val="32"/>
          <w:lang w:eastAsia="zh-CN"/>
        </w:rPr>
        <w:t>—</w:t>
      </w:r>
      <w:r>
        <w:rPr>
          <w:rFonts w:hint="eastAsia" w:ascii="仿宋_GB2312" w:hAnsi="仿宋_GB2312" w:eastAsia="仿宋_GB2312" w:cs="仿宋_GB2312"/>
          <w:color w:val="auto"/>
          <w:spacing w:val="6"/>
          <w:sz w:val="32"/>
          <w:szCs w:val="32"/>
        </w:rPr>
        <w:t>结束紧急状态”的程序进行响应。事故应急处理和抢险基本结束后，应急指挥中心应立即做好受伤人员的救治、慰问和善后处理工作，并配合相关部门对事故进行调查分析，事故现场得以控制，环境符合有关标准，导致次生、衍生事故隐患消除后，经事故现场应急指挥中心批准后，现场应急结束。</w:t>
      </w:r>
    </w:p>
    <w:p w14:paraId="6AE87FEE">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534" w:name="_Toc23977"/>
      <w:bookmarkStart w:id="535" w:name="_Toc20976"/>
      <w:bookmarkStart w:id="536" w:name="_Toc14995"/>
      <w:bookmarkStart w:id="537" w:name="_Toc5551"/>
      <w:r>
        <w:rPr>
          <w:rFonts w:hint="eastAsia" w:ascii="楷体_GB2312" w:hAnsi="楷体_GB2312" w:eastAsia="楷体_GB2312" w:cs="楷体_GB2312"/>
          <w:b/>
          <w:bCs/>
          <w:color w:val="auto"/>
          <w:spacing w:val="8"/>
          <w:sz w:val="32"/>
          <w:szCs w:val="32"/>
          <w:lang w:val="en-US" w:eastAsia="zh-CN"/>
        </w:rPr>
        <w:t>（三）应急保障措施</w:t>
      </w:r>
      <w:bookmarkEnd w:id="534"/>
      <w:bookmarkEnd w:id="535"/>
      <w:bookmarkEnd w:id="536"/>
      <w:bookmarkEnd w:id="537"/>
    </w:p>
    <w:p w14:paraId="247CDC13">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7"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b/>
          <w:bCs/>
          <w:color w:val="auto"/>
          <w:spacing w:val="6"/>
          <w:sz w:val="32"/>
          <w:szCs w:val="32"/>
          <w:lang w:val="en-US" w:eastAsia="zh-CN"/>
        </w:rPr>
        <w:t>1.</w:t>
      </w:r>
      <w:r>
        <w:rPr>
          <w:rFonts w:hint="eastAsia" w:ascii="仿宋_GB2312" w:hAnsi="仿宋_GB2312" w:eastAsia="仿宋_GB2312" w:cs="仿宋_GB2312"/>
          <w:b/>
          <w:bCs/>
          <w:color w:val="auto"/>
          <w:spacing w:val="6"/>
          <w:sz w:val="32"/>
          <w:szCs w:val="32"/>
        </w:rPr>
        <w:t>建立协调统一的应急机制。</w:t>
      </w:r>
      <w:r>
        <w:rPr>
          <w:rFonts w:hint="eastAsia" w:ascii="仿宋_GB2312" w:hAnsi="仿宋_GB2312" w:eastAsia="仿宋_GB2312" w:cs="仿宋_GB2312"/>
          <w:color w:val="auto"/>
          <w:spacing w:val="6"/>
          <w:sz w:val="32"/>
          <w:szCs w:val="32"/>
        </w:rPr>
        <w:t>构建全社会统一的应急指挥、协调机制，建立应急处理队伍。在遇到突发事件时，能及时、准确地进行预报，并提出相应防范措施。</w:t>
      </w:r>
    </w:p>
    <w:p w14:paraId="6402AC97">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7"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b/>
          <w:bCs/>
          <w:color w:val="auto"/>
          <w:spacing w:val="6"/>
          <w:sz w:val="32"/>
          <w:szCs w:val="32"/>
          <w:lang w:val="en-US" w:eastAsia="zh-CN"/>
        </w:rPr>
        <w:t>2.健全专业的应急队伍。</w:t>
      </w:r>
      <w:r>
        <w:rPr>
          <w:rFonts w:hint="eastAsia" w:ascii="仿宋_GB2312" w:hAnsi="仿宋_GB2312" w:eastAsia="仿宋_GB2312" w:cs="仿宋_GB2312"/>
          <w:color w:val="auto"/>
          <w:spacing w:val="6"/>
          <w:sz w:val="32"/>
          <w:szCs w:val="32"/>
        </w:rPr>
        <w:t>加大资金投入，配置必要的建筑垃圾应急处理专业装备，逐步开展多层次的突发事件应急培训。根据应急预案，加强业务演练，定期进行培训和演习，增强反应和处理能力，建设一支高素质的建筑垃圾污染突发事件应急队伍。</w:t>
      </w:r>
    </w:p>
    <w:p w14:paraId="3E6EC201">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7"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b/>
          <w:bCs/>
          <w:color w:val="auto"/>
          <w:spacing w:val="6"/>
          <w:sz w:val="32"/>
          <w:szCs w:val="32"/>
          <w:lang w:val="en-US" w:eastAsia="zh-CN"/>
        </w:rPr>
        <w:t>3.加强应急物资储备。</w:t>
      </w:r>
      <w:r>
        <w:rPr>
          <w:rFonts w:hint="eastAsia" w:ascii="仿宋_GB2312" w:hAnsi="仿宋_GB2312" w:eastAsia="仿宋_GB2312" w:cs="仿宋_GB2312"/>
          <w:color w:val="auto"/>
          <w:spacing w:val="6"/>
          <w:sz w:val="32"/>
          <w:szCs w:val="32"/>
        </w:rPr>
        <w:t>制订应急物资的储备计划，保障建筑垃圾处置突发事件时的物资供应和后勤支援。应急物资和设备要处于良好的待用状态，并指派专人定期检查、使用、维护与管理。安全事故应急常用物资和设备有：常备药品</w:t>
      </w:r>
      <w:r>
        <w:rPr>
          <w:rFonts w:hint="eastAsia" w:ascii="仿宋_GB2312" w:hAnsi="仿宋_GB2312" w:eastAsia="仿宋_GB2312" w:cs="仿宋_GB2312"/>
          <w:color w:val="auto"/>
          <w:spacing w:val="6"/>
          <w:sz w:val="32"/>
          <w:szCs w:val="32"/>
          <w:lang w:eastAsia="zh-CN"/>
        </w:rPr>
        <w:t>、</w:t>
      </w:r>
      <w:r>
        <w:rPr>
          <w:rFonts w:hint="eastAsia" w:ascii="仿宋_GB2312" w:hAnsi="仿宋_GB2312" w:eastAsia="仿宋_GB2312" w:cs="仿宋_GB2312"/>
          <w:color w:val="auto"/>
          <w:spacing w:val="6"/>
          <w:sz w:val="32"/>
          <w:szCs w:val="32"/>
        </w:rPr>
        <w:t>消毒药品、急救物品等；抢险工具，铁锹、撬棍、千斤顶、麻绳、</w:t>
      </w:r>
      <w:r>
        <w:rPr>
          <w:rFonts w:hint="eastAsia" w:ascii="仿宋_GB2312" w:hAnsi="仿宋_GB2312" w:eastAsia="仿宋_GB2312" w:cs="仿宋_GB2312"/>
          <w:color w:val="auto"/>
          <w:spacing w:val="6"/>
          <w:sz w:val="32"/>
          <w:szCs w:val="32"/>
          <w:lang w:eastAsia="zh-CN"/>
        </w:rPr>
        <w:t>切割</w:t>
      </w:r>
      <w:r>
        <w:rPr>
          <w:rFonts w:hint="eastAsia" w:ascii="仿宋_GB2312" w:hAnsi="仿宋_GB2312" w:eastAsia="仿宋_GB2312" w:cs="仿宋_GB2312"/>
          <w:color w:val="auto"/>
          <w:spacing w:val="6"/>
          <w:sz w:val="32"/>
          <w:szCs w:val="32"/>
        </w:rPr>
        <w:t>工具、电工常用工具等；应急器材，安全帽、安全带、防毒面具、应急灯、对讲机、水泵、灭火器等；应急设备，推土机、挖掘机、装载机、车辆等。</w:t>
      </w:r>
    </w:p>
    <w:p w14:paraId="15E6A977">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jc w:val="both"/>
        <w:textAlignment w:val="baseline"/>
        <w:outlineLvl w:val="1"/>
        <w:rPr>
          <w:rFonts w:hint="eastAsia" w:ascii="楷体_GB2312" w:hAnsi="楷体_GB2312" w:eastAsia="楷体_GB2312" w:cs="楷体_GB2312"/>
          <w:b/>
          <w:bCs/>
          <w:color w:val="auto"/>
          <w:spacing w:val="8"/>
          <w:sz w:val="32"/>
          <w:szCs w:val="32"/>
          <w:lang w:val="en-US" w:eastAsia="zh-CN"/>
        </w:rPr>
      </w:pPr>
      <w:bookmarkStart w:id="538" w:name="_Toc10468"/>
      <w:bookmarkStart w:id="539" w:name="_Toc28698"/>
      <w:bookmarkStart w:id="540" w:name="_Toc6083"/>
      <w:bookmarkStart w:id="541" w:name="_Toc18158"/>
      <w:r>
        <w:rPr>
          <w:rFonts w:hint="eastAsia" w:ascii="楷体_GB2312" w:hAnsi="楷体_GB2312" w:eastAsia="楷体_GB2312" w:cs="楷体_GB2312"/>
          <w:b/>
          <w:bCs/>
          <w:color w:val="auto"/>
          <w:spacing w:val="8"/>
          <w:sz w:val="32"/>
          <w:szCs w:val="32"/>
          <w:lang w:val="en-US" w:eastAsia="zh-CN"/>
        </w:rPr>
        <w:t>（四）善后处置</w:t>
      </w:r>
      <w:bookmarkEnd w:id="538"/>
      <w:bookmarkEnd w:id="539"/>
      <w:bookmarkEnd w:id="540"/>
      <w:bookmarkEnd w:id="541"/>
    </w:p>
    <w:p w14:paraId="1780E6F6">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配合政府相关职能部门做好善后工作，做好事故分析，查找原因，防止类似事件再次发生。查明事故性质和责任，总结事故教训。提供整改措施，并对事故责任人提出处理意见。</w:t>
      </w:r>
    </w:p>
    <w:p w14:paraId="36F827CD">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sectPr>
          <w:headerReference r:id="rId15" w:type="default"/>
          <w:pgSz w:w="23811" w:h="16838" w:orient="landscape"/>
          <w:pgMar w:top="1800" w:right="1440" w:bottom="1800" w:left="1440" w:header="851" w:footer="992" w:gutter="0"/>
          <w:pgNumType w:fmt="numberInDash"/>
          <w:cols w:space="2106" w:num="2"/>
          <w:docGrid w:type="lines" w:linePitch="312" w:charSpace="0"/>
        </w:sectPr>
      </w:pPr>
    </w:p>
    <w:p w14:paraId="046585CE">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313" w:afterLines="100" w:line="560" w:lineRule="exact"/>
        <w:ind w:right="0" w:rightChars="0"/>
        <w:jc w:val="center"/>
        <w:textAlignment w:val="baseline"/>
        <w:outlineLvl w:val="0"/>
        <w:rPr>
          <w:rFonts w:hint="eastAsia" w:ascii="黑体" w:hAnsi="黑体" w:eastAsia="黑体" w:cs="黑体"/>
          <w:color w:val="auto"/>
          <w:spacing w:val="7"/>
          <w:sz w:val="44"/>
          <w:szCs w:val="44"/>
          <w:lang w:val="en-US" w:eastAsia="zh-CN"/>
        </w:rPr>
      </w:pPr>
      <w:bookmarkStart w:id="542" w:name="_Toc6050"/>
      <w:bookmarkStart w:id="543" w:name="_Toc4123"/>
      <w:bookmarkStart w:id="544" w:name="_Toc17396"/>
      <w:bookmarkStart w:id="545" w:name="_Toc27403"/>
      <w:r>
        <w:rPr>
          <w:rFonts w:hint="eastAsia" w:ascii="黑体" w:hAnsi="黑体" w:eastAsia="黑体" w:cs="黑体"/>
          <w:color w:val="auto"/>
          <w:spacing w:val="7"/>
          <w:sz w:val="44"/>
          <w:szCs w:val="44"/>
          <w:lang w:val="en-US" w:eastAsia="zh-CN"/>
        </w:rPr>
        <w:t>第十章 近期规划及实施计划</w:t>
      </w:r>
      <w:bookmarkEnd w:id="542"/>
      <w:bookmarkEnd w:id="543"/>
      <w:bookmarkEnd w:id="544"/>
      <w:bookmarkEnd w:id="545"/>
    </w:p>
    <w:p w14:paraId="03727EB3">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eastAsia" w:ascii="黑体" w:hAnsi="黑体" w:eastAsia="黑体" w:cs="黑体"/>
          <w:b w:val="0"/>
          <w:bCs w:val="0"/>
          <w:color w:val="auto"/>
          <w:spacing w:val="2"/>
          <w:sz w:val="31"/>
          <w:szCs w:val="31"/>
          <w:lang w:val="en-US" w:eastAsia="zh-CN"/>
        </w:rPr>
      </w:pPr>
      <w:bookmarkStart w:id="546" w:name="_Toc24815"/>
      <w:bookmarkStart w:id="547" w:name="_Toc22489"/>
      <w:bookmarkStart w:id="548" w:name="_Toc17030"/>
      <w:bookmarkStart w:id="549" w:name="_Toc26366"/>
      <w:r>
        <w:rPr>
          <w:rFonts w:hint="eastAsia" w:ascii="黑体" w:hAnsi="黑体" w:eastAsia="黑体" w:cs="黑体"/>
          <w:b w:val="0"/>
          <w:bCs w:val="0"/>
          <w:color w:val="auto"/>
          <w:spacing w:val="2"/>
          <w:sz w:val="31"/>
          <w:szCs w:val="31"/>
          <w:lang w:val="en-US" w:eastAsia="zh-CN"/>
        </w:rPr>
        <w:t>一、近期工作规划</w:t>
      </w:r>
      <w:bookmarkEnd w:id="546"/>
      <w:bookmarkEnd w:id="547"/>
      <w:bookmarkEnd w:id="548"/>
      <w:bookmarkEnd w:id="549"/>
    </w:p>
    <w:p w14:paraId="30D402BE">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近期规划至20</w:t>
      </w:r>
      <w:r>
        <w:rPr>
          <w:rFonts w:hint="eastAsia" w:ascii="仿宋_GB2312" w:hAnsi="仿宋_GB2312" w:eastAsia="仿宋_GB2312" w:cs="仿宋_GB2312"/>
          <w:color w:val="auto"/>
          <w:spacing w:val="6"/>
          <w:sz w:val="32"/>
          <w:szCs w:val="32"/>
          <w:lang w:val="en-US" w:eastAsia="zh-CN"/>
        </w:rPr>
        <w:t>30</w:t>
      </w:r>
      <w:r>
        <w:rPr>
          <w:rFonts w:hint="eastAsia" w:ascii="仿宋_GB2312" w:hAnsi="仿宋_GB2312" w:eastAsia="仿宋_GB2312" w:cs="仿宋_GB2312"/>
          <w:color w:val="auto"/>
          <w:spacing w:val="6"/>
          <w:sz w:val="32"/>
          <w:szCs w:val="32"/>
        </w:rPr>
        <w:t>年，重点围绕“严格落实建筑垃圾分类</w:t>
      </w:r>
      <w:r>
        <w:rPr>
          <w:rFonts w:hint="eastAsia" w:ascii="仿宋_GB2312" w:hAnsi="仿宋_GB2312" w:eastAsia="仿宋_GB2312" w:cs="仿宋_GB2312"/>
          <w:color w:val="auto"/>
          <w:spacing w:val="6"/>
          <w:sz w:val="32"/>
          <w:szCs w:val="32"/>
          <w:lang w:eastAsia="zh-CN"/>
        </w:rPr>
        <w:t>管理制度</w:t>
      </w:r>
      <w:r>
        <w:rPr>
          <w:rFonts w:hint="eastAsia" w:ascii="仿宋_GB2312" w:hAnsi="仿宋_GB2312" w:eastAsia="仿宋_GB2312" w:cs="仿宋_GB2312"/>
          <w:color w:val="auto"/>
          <w:spacing w:val="6"/>
          <w:sz w:val="32"/>
          <w:szCs w:val="32"/>
        </w:rPr>
        <w:t>、规范建筑垃圾收运车辆、加快建筑垃圾资源化利用和处置设施建设、推动建筑垃圾资源化利用产业化发展、推进建筑垃圾监督管理信息化建设”五个方面规划工作。</w:t>
      </w:r>
    </w:p>
    <w:p w14:paraId="3F26755E">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550" w:name="_Toc15101"/>
      <w:bookmarkStart w:id="551" w:name="_Toc20011"/>
      <w:bookmarkStart w:id="552" w:name="_Toc17387"/>
      <w:bookmarkStart w:id="553" w:name="_Toc4633"/>
      <w:r>
        <w:rPr>
          <w:rFonts w:hint="eastAsia" w:ascii="楷体_GB2312" w:hAnsi="楷体_GB2312" w:eastAsia="楷体_GB2312" w:cs="楷体_GB2312"/>
          <w:b/>
          <w:bCs/>
          <w:color w:val="auto"/>
          <w:spacing w:val="8"/>
          <w:sz w:val="32"/>
          <w:szCs w:val="32"/>
          <w:lang w:val="en-US" w:eastAsia="zh-CN"/>
        </w:rPr>
        <w:t>（一）严格落实建筑垃圾分类管理</w:t>
      </w:r>
      <w:bookmarkEnd w:id="550"/>
      <w:bookmarkEnd w:id="551"/>
      <w:bookmarkEnd w:id="552"/>
      <w:bookmarkEnd w:id="553"/>
    </w:p>
    <w:p w14:paraId="5F02BDC4">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健全建筑垃圾分类处理制度，加强建筑垃圾产生、转运、调配、消纳处置以及资源化利用全过程管理，实现工程渣土、工程泥浆、工程垃圾、拆除垃圾、装修垃圾等不同类别建筑垃圾分类收集、运输、处理和资源化利用。实行建筑垃圾分类管理，建立建筑垃圾分类管理指导目录，明确分类要求，加强分类收运处置管理。加快建筑垃圾分类投放场所建设，保障处置安全，减少环境污染。</w:t>
      </w:r>
    </w:p>
    <w:p w14:paraId="20313B6A">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554" w:name="_Toc3030"/>
      <w:bookmarkStart w:id="555" w:name="_Toc21626"/>
      <w:bookmarkStart w:id="556" w:name="_Toc26468"/>
      <w:bookmarkStart w:id="557" w:name="_Toc29938"/>
      <w:r>
        <w:rPr>
          <w:rFonts w:hint="eastAsia" w:ascii="楷体_GB2312" w:hAnsi="楷体_GB2312" w:eastAsia="楷体_GB2312" w:cs="楷体_GB2312"/>
          <w:b/>
          <w:bCs/>
          <w:color w:val="auto"/>
          <w:spacing w:val="8"/>
          <w:sz w:val="32"/>
          <w:szCs w:val="32"/>
          <w:lang w:val="en-US" w:eastAsia="zh-CN"/>
        </w:rPr>
        <w:t>（二）规范建筑垃圾收运车辆</w:t>
      </w:r>
      <w:bookmarkEnd w:id="554"/>
      <w:bookmarkEnd w:id="555"/>
      <w:bookmarkEnd w:id="556"/>
      <w:bookmarkEnd w:id="557"/>
    </w:p>
    <w:p w14:paraId="26049B2D">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严格规范建筑垃圾收运车辆管理，推进建筑垃圾收集运输实行公司化、规模化、专业化运营管理，强化建筑垃圾收运单位按照管理部门规</w:t>
      </w:r>
      <w:r>
        <w:rPr>
          <w:rFonts w:hint="eastAsia" w:ascii="仿宋_GB2312" w:hAnsi="仿宋_GB2312" w:eastAsia="仿宋_GB2312" w:cs="仿宋_GB2312"/>
          <w:color w:val="auto"/>
          <w:spacing w:val="6"/>
          <w:sz w:val="32"/>
          <w:szCs w:val="32"/>
          <w:lang w:eastAsia="zh-CN"/>
        </w:rPr>
        <w:t>定的</w:t>
      </w:r>
      <w:r>
        <w:rPr>
          <w:rFonts w:hint="eastAsia" w:ascii="仿宋_GB2312" w:hAnsi="仿宋_GB2312" w:eastAsia="仿宋_GB2312" w:cs="仿宋_GB2312"/>
          <w:color w:val="auto"/>
          <w:spacing w:val="6"/>
          <w:sz w:val="32"/>
          <w:szCs w:val="32"/>
        </w:rPr>
        <w:t>运输路线、运行时间开展建筑垃圾收运工作，严格处罚丢弃、遗撒建筑垃圾以及超出核准范围承运建筑垃圾等行为。严格规范不同建筑垃圾车辆执行不同管理标准，推动实行工程泥浆运输车辆采用密闭罐车，其他建筑垃圾运输车采用密闭厢式货车</w:t>
      </w:r>
      <w:r>
        <w:rPr>
          <w:rFonts w:hint="eastAsia" w:ascii="仿宋_GB2312" w:hAnsi="仿宋_GB2312" w:eastAsia="仿宋_GB2312" w:cs="仿宋_GB2312"/>
          <w:color w:val="auto"/>
          <w:spacing w:val="6"/>
          <w:sz w:val="32"/>
          <w:szCs w:val="32"/>
          <w:lang w:eastAsia="zh-CN"/>
        </w:rPr>
        <w:t>，对</w:t>
      </w:r>
      <w:r>
        <w:rPr>
          <w:rFonts w:hint="eastAsia" w:ascii="仿宋_GB2312" w:hAnsi="仿宋_GB2312" w:eastAsia="仿宋_GB2312" w:cs="仿宋_GB2312"/>
          <w:color w:val="auto"/>
          <w:spacing w:val="6"/>
          <w:sz w:val="32"/>
          <w:szCs w:val="32"/>
        </w:rPr>
        <w:t>建筑垃圾散装运输车表面进行有效遮盖，防止裸露和散落。严格要求收集运输车辆安装定位和监控系统，实现与建筑垃圾信息共享平台和运输监控系统互联互通，推动信息共享和部门执法联动。建立收集运输车辆技术档案管理，并实行动态更新管理。严格规定以车辆的额定荷载和有效容积为标准核定垃圾装运量，严禁超重、超高运输。实行收集运输车辆管理标识管理，明确规范分类收集、运输标识。</w:t>
      </w:r>
    </w:p>
    <w:p w14:paraId="591DF7E6">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558" w:name="_Toc4586"/>
      <w:bookmarkStart w:id="559" w:name="_Toc7189"/>
      <w:bookmarkStart w:id="560" w:name="_Toc319"/>
      <w:bookmarkStart w:id="561" w:name="_Toc24691"/>
      <w:r>
        <w:rPr>
          <w:rFonts w:hint="eastAsia" w:ascii="楷体_GB2312" w:hAnsi="楷体_GB2312" w:eastAsia="楷体_GB2312" w:cs="楷体_GB2312"/>
          <w:b/>
          <w:bCs/>
          <w:color w:val="auto"/>
          <w:spacing w:val="8"/>
          <w:sz w:val="32"/>
          <w:szCs w:val="32"/>
          <w:lang w:val="en-US" w:eastAsia="zh-CN"/>
        </w:rPr>
        <w:t>（三）加快建筑垃圾资源化利用和处置设施建设</w:t>
      </w:r>
      <w:bookmarkEnd w:id="558"/>
      <w:bookmarkEnd w:id="559"/>
      <w:bookmarkEnd w:id="560"/>
      <w:bookmarkEnd w:id="561"/>
    </w:p>
    <w:p w14:paraId="4E7348A6">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新建建筑垃圾资源化利用和处置设施应满足《建筑垃圾处理技术标准》</w:t>
      </w:r>
      <w:r>
        <w:rPr>
          <w:rFonts w:hint="eastAsia" w:ascii="仿宋_GB2312" w:hAnsi="仿宋_GB2312" w:eastAsia="仿宋_GB2312" w:cs="仿宋_GB2312"/>
          <w:color w:val="auto"/>
          <w:spacing w:val="6"/>
          <w:sz w:val="32"/>
          <w:szCs w:val="32"/>
          <w:lang w:eastAsia="zh-CN"/>
        </w:rPr>
        <w:t>（</w:t>
      </w:r>
      <w:r>
        <w:rPr>
          <w:rFonts w:hint="eastAsia" w:ascii="仿宋_GB2312" w:hAnsi="仿宋_GB2312" w:eastAsia="仿宋_GB2312" w:cs="仿宋_GB2312"/>
          <w:color w:val="auto"/>
          <w:spacing w:val="6"/>
          <w:sz w:val="32"/>
          <w:szCs w:val="32"/>
        </w:rPr>
        <w:t>CJJ/T134-2019</w:t>
      </w:r>
      <w:r>
        <w:rPr>
          <w:rFonts w:hint="eastAsia" w:ascii="仿宋_GB2312" w:hAnsi="仿宋_GB2312" w:eastAsia="仿宋_GB2312" w:cs="仿宋_GB2312"/>
          <w:color w:val="auto"/>
          <w:spacing w:val="6"/>
          <w:sz w:val="32"/>
          <w:szCs w:val="32"/>
          <w:lang w:eastAsia="zh-CN"/>
        </w:rPr>
        <w:t>）</w:t>
      </w:r>
      <w:r>
        <w:rPr>
          <w:rFonts w:hint="eastAsia" w:ascii="仿宋_GB2312" w:hAnsi="仿宋_GB2312" w:eastAsia="仿宋_GB2312" w:cs="仿宋_GB2312"/>
          <w:color w:val="auto"/>
          <w:spacing w:val="6"/>
          <w:sz w:val="32"/>
          <w:szCs w:val="32"/>
        </w:rPr>
        <w:t>等有关标准要求，依法推动建筑垃圾处理场地加装监控探头、执行分区作业、遵守堆填高度要求等，规范作业管理。运用经济手段营造利益驱动机制，创造良好的投资环境，积极推动建筑垃圾填埋场、处理中心建设管理企业化、市场化、建设投资多元化，逐步将建筑垃圾处理设施建设由社会公益事业行为转变为以企业为主体的市场行为和经济行为，由政府履行监管责任。</w:t>
      </w:r>
    </w:p>
    <w:p w14:paraId="72E2C492">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562" w:name="_Toc18855"/>
      <w:bookmarkStart w:id="563" w:name="_Toc27192"/>
      <w:bookmarkStart w:id="564" w:name="_Toc17454"/>
      <w:bookmarkStart w:id="565" w:name="_Toc9426"/>
      <w:r>
        <w:rPr>
          <w:rFonts w:hint="eastAsia" w:ascii="楷体_GB2312" w:hAnsi="楷体_GB2312" w:eastAsia="楷体_GB2312" w:cs="楷体_GB2312"/>
          <w:b/>
          <w:bCs/>
          <w:color w:val="auto"/>
          <w:spacing w:val="8"/>
          <w:sz w:val="32"/>
          <w:szCs w:val="32"/>
          <w:lang w:val="en-US" w:eastAsia="zh-CN"/>
        </w:rPr>
        <w:t>（四）推动建筑垃圾资源化利用产业化发展</w:t>
      </w:r>
      <w:bookmarkEnd w:id="562"/>
      <w:bookmarkEnd w:id="563"/>
      <w:bookmarkEnd w:id="564"/>
      <w:bookmarkEnd w:id="565"/>
    </w:p>
    <w:p w14:paraId="445AC3D0">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运用信息化手段推进建筑垃圾源头减量，促进建筑垃圾就近利用，促进工地和项目业主间的垃圾自行消化处理，提高建筑垃圾的综合利用和资源集约节约，积极推进城区建筑垃圾循环化利用项目布局规划；逐步实现智能新能源运输车实用化、产业化，鼓励支持运输企业将老旧车</w:t>
      </w:r>
      <w:r>
        <w:rPr>
          <w:rFonts w:hint="eastAsia" w:ascii="仿宋_GB2312" w:hAnsi="仿宋_GB2312" w:eastAsia="仿宋_GB2312" w:cs="仿宋_GB2312"/>
          <w:color w:val="auto"/>
          <w:spacing w:val="6"/>
          <w:sz w:val="32"/>
          <w:szCs w:val="32"/>
          <w:lang w:eastAsia="zh-CN"/>
        </w:rPr>
        <w:t>型变</w:t>
      </w:r>
      <w:r>
        <w:rPr>
          <w:rFonts w:hint="eastAsia" w:ascii="仿宋_GB2312" w:hAnsi="仿宋_GB2312" w:eastAsia="仿宋_GB2312" w:cs="仿宋_GB2312"/>
          <w:color w:val="auto"/>
          <w:spacing w:val="6"/>
          <w:sz w:val="32"/>
          <w:szCs w:val="32"/>
        </w:rPr>
        <w:t>更</w:t>
      </w:r>
      <w:r>
        <w:rPr>
          <w:rFonts w:hint="eastAsia" w:ascii="仿宋_GB2312" w:hAnsi="仿宋_GB2312" w:eastAsia="仿宋_GB2312" w:cs="仿宋_GB2312"/>
          <w:color w:val="auto"/>
          <w:spacing w:val="6"/>
          <w:sz w:val="32"/>
          <w:szCs w:val="32"/>
          <w:lang w:eastAsia="zh-CN"/>
        </w:rPr>
        <w:t>为</w:t>
      </w:r>
      <w:r>
        <w:rPr>
          <w:rFonts w:hint="eastAsia" w:ascii="仿宋_GB2312" w:hAnsi="仿宋_GB2312" w:eastAsia="仿宋_GB2312" w:cs="仿宋_GB2312"/>
          <w:color w:val="auto"/>
          <w:spacing w:val="6"/>
          <w:sz w:val="32"/>
          <w:szCs w:val="32"/>
        </w:rPr>
        <w:t>新型智能新能源渣土运输车辆；建立健全建筑垃圾资源化循环化利用政策资金引导、支撑配套体系。</w:t>
      </w:r>
    </w:p>
    <w:p w14:paraId="486B1C34">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eastAsia" w:ascii="楷体_GB2312" w:hAnsi="楷体_GB2312" w:eastAsia="楷体_GB2312" w:cs="楷体_GB2312"/>
          <w:b/>
          <w:bCs/>
          <w:color w:val="auto"/>
          <w:spacing w:val="8"/>
          <w:sz w:val="32"/>
          <w:szCs w:val="32"/>
          <w:lang w:val="en-US" w:eastAsia="zh-CN"/>
        </w:rPr>
      </w:pPr>
      <w:bookmarkStart w:id="566" w:name="_Toc7836"/>
      <w:bookmarkStart w:id="567" w:name="_Toc17655"/>
      <w:bookmarkStart w:id="568" w:name="_Toc5371"/>
      <w:bookmarkStart w:id="569" w:name="_Toc3996"/>
      <w:r>
        <w:rPr>
          <w:rFonts w:hint="eastAsia" w:ascii="楷体_GB2312" w:hAnsi="楷体_GB2312" w:eastAsia="楷体_GB2312" w:cs="楷体_GB2312"/>
          <w:b/>
          <w:bCs/>
          <w:color w:val="auto"/>
          <w:spacing w:val="8"/>
          <w:sz w:val="32"/>
          <w:szCs w:val="32"/>
          <w:lang w:val="en-US" w:eastAsia="zh-CN"/>
        </w:rPr>
        <w:t>（五）推进建筑垃圾监督管理信息化建设</w:t>
      </w:r>
      <w:bookmarkEnd w:id="566"/>
      <w:bookmarkEnd w:id="567"/>
      <w:bookmarkEnd w:id="568"/>
      <w:bookmarkEnd w:id="569"/>
    </w:p>
    <w:p w14:paraId="4785C89F">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rPr>
      </w:pPr>
      <w:r>
        <w:rPr>
          <w:rFonts w:hint="eastAsia" w:ascii="仿宋_GB2312" w:hAnsi="仿宋_GB2312" w:eastAsia="仿宋_GB2312" w:cs="仿宋_GB2312"/>
          <w:color w:val="auto"/>
          <w:spacing w:val="6"/>
          <w:sz w:val="32"/>
          <w:szCs w:val="32"/>
        </w:rPr>
        <w:t>建立甘州区建筑垃圾运输车在线监管系统功能，依法推动在</w:t>
      </w:r>
      <w:r>
        <w:rPr>
          <w:rFonts w:hint="eastAsia" w:ascii="仿宋_GB2312" w:hAnsi="仿宋_GB2312" w:eastAsia="仿宋_GB2312" w:cs="仿宋_GB2312"/>
          <w:color w:val="auto"/>
          <w:spacing w:val="6"/>
          <w:sz w:val="32"/>
          <w:szCs w:val="32"/>
          <w:lang w:val="en-US" w:eastAsia="zh-CN"/>
        </w:rPr>
        <w:t>本区</w:t>
      </w:r>
      <w:r>
        <w:rPr>
          <w:rFonts w:hint="eastAsia" w:ascii="仿宋_GB2312" w:hAnsi="仿宋_GB2312" w:eastAsia="仿宋_GB2312" w:cs="仿宋_GB2312"/>
          <w:color w:val="auto"/>
          <w:spacing w:val="6"/>
          <w:sz w:val="32"/>
          <w:szCs w:val="32"/>
        </w:rPr>
        <w:t>范围内作业的建筑垃圾运输车上安装道路运输车辆卫星定位模块、视频监控模块，通过“互联网+车联网综合应用”实现建筑垃圾运输车定位信息与管理信息的有效结合，同时引入施工工地消纳场出入口监控信息，形成建筑垃圾运输车辆从施工工地到建筑垃圾消纳场的监管闭环。</w:t>
      </w:r>
    </w:p>
    <w:p w14:paraId="0029CA2A">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eastAsia" w:ascii="仿宋_GB2312" w:hAnsi="仿宋_GB2312" w:eastAsia="仿宋_GB2312" w:cs="仿宋_GB2312"/>
          <w:color w:val="auto"/>
          <w:spacing w:val="6"/>
          <w:sz w:val="32"/>
          <w:szCs w:val="32"/>
          <w:lang w:val="en-US" w:eastAsia="zh-CN"/>
        </w:rPr>
      </w:pPr>
      <w:bookmarkStart w:id="570" w:name="_Toc21347"/>
      <w:bookmarkStart w:id="571" w:name="_Toc10425"/>
      <w:bookmarkStart w:id="572" w:name="_Toc5096"/>
      <w:bookmarkStart w:id="573" w:name="_Toc3207"/>
      <w:r>
        <w:rPr>
          <w:rFonts w:hint="eastAsia" w:ascii="黑体" w:hAnsi="黑体" w:eastAsia="黑体" w:cs="黑体"/>
          <w:b w:val="0"/>
          <w:bCs w:val="0"/>
          <w:color w:val="auto"/>
          <w:spacing w:val="2"/>
          <w:sz w:val="31"/>
          <w:szCs w:val="31"/>
          <w:lang w:val="en-US" w:eastAsia="zh-CN"/>
        </w:rPr>
        <w:t>二、近期建设内容</w:t>
      </w:r>
      <w:bookmarkEnd w:id="570"/>
      <w:bookmarkEnd w:id="571"/>
      <w:bookmarkEnd w:id="572"/>
      <w:bookmarkEnd w:id="573"/>
    </w:p>
    <w:p w14:paraId="214877AE">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5" w:firstLineChars="200"/>
        <w:jc w:val="left"/>
        <w:textAlignment w:val="baseline"/>
        <w:outlineLvl w:val="1"/>
        <w:rPr>
          <w:rFonts w:hint="eastAsia" w:ascii="楷体_GB2312" w:hAnsi="楷体_GB2312" w:eastAsia="楷体_GB2312" w:cs="楷体_GB2312"/>
          <w:b/>
          <w:bCs/>
          <w:color w:val="auto"/>
          <w:spacing w:val="8"/>
          <w:sz w:val="32"/>
          <w:szCs w:val="32"/>
          <w:lang w:eastAsia="zh-CN"/>
        </w:rPr>
      </w:pPr>
      <w:bookmarkStart w:id="574" w:name="_Toc27511"/>
      <w:r>
        <w:rPr>
          <w:rFonts w:hint="eastAsia" w:ascii="楷体_GB2312" w:hAnsi="楷体_GB2312" w:eastAsia="楷体_GB2312" w:cs="楷体_GB2312"/>
          <w:b/>
          <w:bCs/>
          <w:color w:val="auto"/>
          <w:spacing w:val="8"/>
          <w:sz w:val="32"/>
          <w:szCs w:val="32"/>
          <w:lang w:val="en-US" w:eastAsia="zh-CN"/>
        </w:rPr>
        <w:t>（一）</w:t>
      </w:r>
      <w:r>
        <w:rPr>
          <w:rFonts w:hint="default" w:ascii="楷体_GB2312" w:hAnsi="楷体_GB2312" w:eastAsia="楷体_GB2312" w:cs="楷体_GB2312"/>
          <w:b/>
          <w:bCs/>
          <w:color w:val="auto"/>
          <w:spacing w:val="8"/>
          <w:sz w:val="32"/>
          <w:szCs w:val="32"/>
          <w:lang w:eastAsia="zh-CN"/>
        </w:rPr>
        <w:t>完善建筑垃圾堆倒场建设</w:t>
      </w:r>
      <w:bookmarkEnd w:id="574"/>
    </w:p>
    <w:p w14:paraId="39C1A06D">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default" w:ascii="仿宋_GB2312" w:hAnsi="仿宋_GB2312" w:eastAsia="仿宋_GB2312" w:cs="仿宋_GB2312"/>
          <w:color w:val="auto"/>
          <w:spacing w:val="6"/>
          <w:sz w:val="32"/>
          <w:szCs w:val="32"/>
          <w:lang w:eastAsia="zh-CN"/>
        </w:rPr>
      </w:pPr>
      <w:r>
        <w:rPr>
          <w:rFonts w:hint="default" w:ascii="仿宋_GB2312" w:hAnsi="仿宋_GB2312" w:eastAsia="仿宋_GB2312" w:cs="仿宋_GB2312"/>
          <w:color w:val="auto"/>
          <w:spacing w:val="6"/>
          <w:sz w:val="32"/>
          <w:szCs w:val="32"/>
          <w:lang w:eastAsia="zh-CN"/>
        </w:rPr>
        <w:t>规划在张掖市甘州区城市垃圾处理厂内生活垃圾填埋场西侧、东侧及东南侧（位于张掖市经开区循环经济园区，距城区约13公里、距最近居民点约2.5公里），设立建筑垃圾堆倒场，总占地面积165243平方米，规划总库容600万m³。</w:t>
      </w:r>
    </w:p>
    <w:p w14:paraId="7DAD6FDB">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5" w:firstLineChars="200"/>
        <w:jc w:val="left"/>
        <w:textAlignment w:val="baseline"/>
        <w:outlineLvl w:val="1"/>
        <w:rPr>
          <w:rFonts w:hint="eastAsia" w:ascii="楷体_GB2312" w:hAnsi="楷体_GB2312" w:eastAsia="楷体_GB2312" w:cs="楷体_GB2312"/>
          <w:b/>
          <w:bCs/>
          <w:color w:val="auto"/>
          <w:spacing w:val="8"/>
          <w:sz w:val="32"/>
          <w:szCs w:val="32"/>
          <w:lang w:eastAsia="zh-CN"/>
        </w:rPr>
      </w:pPr>
      <w:bookmarkStart w:id="575" w:name="_Toc24611"/>
      <w:r>
        <w:rPr>
          <w:rFonts w:hint="eastAsia" w:ascii="楷体_GB2312" w:hAnsi="楷体_GB2312" w:eastAsia="楷体_GB2312" w:cs="楷体_GB2312"/>
          <w:b/>
          <w:bCs/>
          <w:color w:val="auto"/>
          <w:spacing w:val="8"/>
          <w:sz w:val="32"/>
          <w:szCs w:val="32"/>
          <w:lang w:val="en-US" w:eastAsia="zh-CN"/>
        </w:rPr>
        <w:t>（二）</w:t>
      </w:r>
      <w:r>
        <w:rPr>
          <w:rFonts w:hint="default" w:ascii="楷体_GB2312" w:hAnsi="楷体_GB2312" w:eastAsia="楷体_GB2312" w:cs="楷体_GB2312"/>
          <w:b/>
          <w:bCs/>
          <w:color w:val="auto"/>
          <w:spacing w:val="8"/>
          <w:sz w:val="32"/>
          <w:szCs w:val="32"/>
          <w:lang w:eastAsia="zh-CN"/>
        </w:rPr>
        <w:t>建设固定建筑垃圾资源化利用厂</w:t>
      </w:r>
      <w:bookmarkEnd w:id="575"/>
    </w:p>
    <w:p w14:paraId="0F347A92">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default" w:ascii="仿宋_GB2312" w:hAnsi="仿宋_GB2312" w:eastAsia="仿宋_GB2312" w:cs="仿宋_GB2312"/>
          <w:color w:val="auto"/>
          <w:spacing w:val="6"/>
          <w:sz w:val="32"/>
          <w:szCs w:val="32"/>
          <w:lang w:eastAsia="zh-CN"/>
        </w:rPr>
      </w:pPr>
      <w:r>
        <w:rPr>
          <w:rFonts w:hint="default" w:ascii="仿宋_GB2312" w:hAnsi="仿宋_GB2312" w:eastAsia="仿宋_GB2312" w:cs="仿宋_GB2312"/>
          <w:color w:val="auto"/>
          <w:spacing w:val="6"/>
          <w:sz w:val="32"/>
          <w:szCs w:val="32"/>
          <w:lang w:eastAsia="zh-CN"/>
        </w:rPr>
        <w:t>该厂选址与建筑垃圾堆倒场一致，近期建设内容包括计量设施、再生处理系统、资源化利用系统、原料及成品贮存系统、环保设施等。近期建筑垃圾处理规模为50万吨/年（1370吨/天），远期将提升至80万吨/年（2192吨/天）。</w:t>
      </w:r>
    </w:p>
    <w:p w14:paraId="25FFD03E">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75" w:firstLineChars="200"/>
        <w:jc w:val="left"/>
        <w:textAlignment w:val="baseline"/>
        <w:outlineLvl w:val="1"/>
        <w:rPr>
          <w:rFonts w:hint="eastAsia" w:ascii="楷体_GB2312" w:hAnsi="楷体_GB2312" w:eastAsia="楷体_GB2312" w:cs="楷体_GB2312"/>
          <w:b/>
          <w:bCs/>
          <w:color w:val="auto"/>
          <w:spacing w:val="8"/>
          <w:sz w:val="32"/>
          <w:szCs w:val="32"/>
          <w:lang w:eastAsia="zh-CN"/>
        </w:rPr>
      </w:pPr>
      <w:bookmarkStart w:id="576" w:name="_Toc22023"/>
      <w:r>
        <w:rPr>
          <w:rFonts w:hint="eastAsia" w:ascii="楷体_GB2312" w:hAnsi="楷体_GB2312" w:eastAsia="楷体_GB2312" w:cs="楷体_GB2312"/>
          <w:b/>
          <w:bCs/>
          <w:color w:val="auto"/>
          <w:spacing w:val="8"/>
          <w:sz w:val="32"/>
          <w:szCs w:val="32"/>
          <w:lang w:eastAsia="zh-CN"/>
        </w:rPr>
        <w:t>（</w:t>
      </w:r>
      <w:r>
        <w:rPr>
          <w:rFonts w:hint="eastAsia" w:ascii="楷体_GB2312" w:hAnsi="楷体_GB2312" w:eastAsia="楷体_GB2312" w:cs="楷体_GB2312"/>
          <w:b/>
          <w:bCs/>
          <w:color w:val="auto"/>
          <w:spacing w:val="8"/>
          <w:sz w:val="32"/>
          <w:szCs w:val="32"/>
          <w:lang w:val="en-US" w:eastAsia="zh-CN"/>
        </w:rPr>
        <w:t>三</w:t>
      </w:r>
      <w:r>
        <w:rPr>
          <w:rFonts w:hint="eastAsia" w:ascii="楷体_GB2312" w:hAnsi="楷体_GB2312" w:eastAsia="楷体_GB2312" w:cs="楷体_GB2312"/>
          <w:b/>
          <w:bCs/>
          <w:color w:val="auto"/>
          <w:spacing w:val="8"/>
          <w:sz w:val="32"/>
          <w:szCs w:val="32"/>
          <w:lang w:eastAsia="zh-CN"/>
        </w:rPr>
        <w:t>）</w:t>
      </w:r>
      <w:r>
        <w:rPr>
          <w:rFonts w:hint="default" w:ascii="楷体_GB2312" w:hAnsi="楷体_GB2312" w:eastAsia="楷体_GB2312" w:cs="楷体_GB2312"/>
          <w:b/>
          <w:bCs/>
          <w:color w:val="auto"/>
          <w:spacing w:val="8"/>
          <w:sz w:val="32"/>
          <w:szCs w:val="32"/>
          <w:lang w:eastAsia="zh-CN"/>
        </w:rPr>
        <w:t>推进建筑垃圾收集系统建设</w:t>
      </w:r>
      <w:bookmarkEnd w:id="576"/>
    </w:p>
    <w:p w14:paraId="4016AFF0">
      <w:pPr>
        <w:keepNext w:val="0"/>
        <w:keepLines w:val="0"/>
        <w:pageBreakBefore w:val="0"/>
        <w:widowControl w:val="0"/>
        <w:numPr>
          <w:ilvl w:val="-1"/>
          <w:numId w:val="0"/>
        </w:numPr>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default" w:ascii="仿宋_GB2312" w:hAnsi="仿宋_GB2312" w:eastAsia="仿宋_GB2312" w:cs="仿宋_GB2312"/>
          <w:color w:val="auto"/>
          <w:spacing w:val="6"/>
          <w:sz w:val="32"/>
          <w:szCs w:val="32"/>
          <w:lang w:eastAsia="zh-CN"/>
        </w:rPr>
        <w:t>为提高建筑垃圾分类收集率，优先开展市区建筑垃圾收集系统建设，尽早完善建筑垃圾收运体系。</w:t>
      </w:r>
    </w:p>
    <w:p w14:paraId="4C0BBF31">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default" w:ascii="黑体" w:hAnsi="黑体" w:eastAsia="黑体" w:cs="黑体"/>
          <w:b w:val="0"/>
          <w:bCs w:val="0"/>
          <w:color w:val="auto"/>
          <w:spacing w:val="2"/>
          <w:sz w:val="31"/>
          <w:szCs w:val="31"/>
          <w:lang w:val="en-US" w:eastAsia="zh-CN"/>
        </w:rPr>
      </w:pPr>
      <w:bookmarkStart w:id="577" w:name="_Toc26329"/>
      <w:bookmarkStart w:id="578" w:name="_Toc3641"/>
      <w:bookmarkStart w:id="579" w:name="_Toc18809"/>
      <w:bookmarkStart w:id="580" w:name="_Toc27963"/>
      <w:r>
        <w:rPr>
          <w:rFonts w:hint="eastAsia" w:ascii="黑体" w:hAnsi="黑体" w:eastAsia="黑体" w:cs="黑体"/>
          <w:b w:val="0"/>
          <w:bCs w:val="0"/>
          <w:color w:val="auto"/>
          <w:spacing w:val="2"/>
          <w:sz w:val="31"/>
          <w:szCs w:val="31"/>
          <w:lang w:val="en-US" w:eastAsia="zh-CN"/>
        </w:rPr>
        <w:t>三、近期重点项目</w:t>
      </w:r>
      <w:bookmarkEnd w:id="577"/>
      <w:bookmarkEnd w:id="578"/>
      <w:bookmarkEnd w:id="579"/>
      <w:bookmarkEnd w:id="580"/>
    </w:p>
    <w:p w14:paraId="1E1EF50F">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lang w:val="en-US" w:eastAsia="zh-CN"/>
        </w:rPr>
      </w:pPr>
      <w:r>
        <w:rPr>
          <w:rFonts w:hint="default" w:ascii="仿宋_GB2312" w:hAnsi="仿宋_GB2312" w:eastAsia="仿宋_GB2312" w:cs="仿宋_GB2312"/>
          <w:color w:val="auto"/>
          <w:spacing w:val="6"/>
          <w:sz w:val="32"/>
          <w:szCs w:val="32"/>
          <w:lang w:val="en-US" w:eastAsia="zh-CN"/>
        </w:rPr>
        <w:t>根据近期规划目标，结合</w:t>
      </w:r>
      <w:r>
        <w:rPr>
          <w:rFonts w:hint="eastAsia" w:ascii="仿宋_GB2312" w:hAnsi="仿宋_GB2312" w:eastAsia="仿宋_GB2312" w:cs="仿宋_GB2312"/>
          <w:color w:val="auto"/>
          <w:spacing w:val="6"/>
          <w:sz w:val="32"/>
          <w:szCs w:val="32"/>
          <w:lang w:val="en-US" w:eastAsia="zh-CN"/>
        </w:rPr>
        <w:t>甘州区</w:t>
      </w:r>
      <w:r>
        <w:rPr>
          <w:rFonts w:hint="default" w:ascii="仿宋_GB2312" w:hAnsi="仿宋_GB2312" w:eastAsia="仿宋_GB2312" w:cs="仿宋_GB2312"/>
          <w:color w:val="auto"/>
          <w:spacing w:val="6"/>
          <w:sz w:val="32"/>
          <w:szCs w:val="32"/>
          <w:lang w:val="en-US" w:eastAsia="zh-CN"/>
        </w:rPr>
        <w:t>经济产业发展、建筑垃圾产生量等因素，规划</w:t>
      </w:r>
      <w:r>
        <w:rPr>
          <w:rFonts w:hint="eastAsia" w:ascii="仿宋_GB2312" w:hAnsi="仿宋_GB2312" w:eastAsia="仿宋_GB2312" w:cs="仿宋_GB2312"/>
          <w:color w:val="auto"/>
          <w:spacing w:val="6"/>
          <w:sz w:val="32"/>
          <w:szCs w:val="32"/>
          <w:lang w:val="en-US" w:eastAsia="zh-CN"/>
        </w:rPr>
        <w:t>建设一批重点项目，</w:t>
      </w:r>
      <w:r>
        <w:rPr>
          <w:rFonts w:hint="default" w:ascii="仿宋_GB2312" w:hAnsi="仿宋_GB2312" w:eastAsia="仿宋_GB2312" w:cs="仿宋_GB2312"/>
          <w:color w:val="auto"/>
          <w:spacing w:val="6"/>
          <w:sz w:val="32"/>
          <w:szCs w:val="32"/>
          <w:lang w:val="en-US" w:eastAsia="zh-CN"/>
        </w:rPr>
        <w:t>具体情况如下表</w:t>
      </w:r>
      <w:r>
        <w:rPr>
          <w:rFonts w:hint="eastAsia" w:ascii="仿宋_GB2312" w:hAnsi="仿宋_GB2312" w:eastAsia="仿宋_GB2312" w:cs="仿宋_GB2312"/>
          <w:color w:val="auto"/>
          <w:spacing w:val="6"/>
          <w:sz w:val="32"/>
          <w:szCs w:val="32"/>
          <w:lang w:val="en-US" w:eastAsia="zh-CN"/>
        </w:rPr>
        <w:t>：</w:t>
      </w:r>
    </w:p>
    <w:p w14:paraId="1736FE44">
      <w:pPr>
        <w:bidi w:val="0"/>
        <w:rPr>
          <w:rFonts w:hint="eastAsia" w:ascii="Arial" w:hAnsi="Arial" w:eastAsia="Arial" w:cs="Arial"/>
          <w:snapToGrid w:val="0"/>
          <w:color w:val="auto"/>
          <w:kern w:val="0"/>
          <w:sz w:val="21"/>
          <w:szCs w:val="21"/>
          <w:lang w:val="en-US" w:eastAsia="zh-CN" w:bidi="ar-SA"/>
        </w:rPr>
      </w:pPr>
    </w:p>
    <w:tbl>
      <w:tblPr>
        <w:tblStyle w:val="1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92"/>
        <w:gridCol w:w="1134"/>
        <w:gridCol w:w="1105"/>
        <w:gridCol w:w="1227"/>
        <w:gridCol w:w="2033"/>
        <w:gridCol w:w="711"/>
        <w:gridCol w:w="1536"/>
        <w:gridCol w:w="1390"/>
      </w:tblGrid>
      <w:tr w14:paraId="364450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8"/>
            <w:vMerge w:val="restart"/>
            <w:tcBorders>
              <w:top w:val="nil"/>
              <w:left w:val="nil"/>
              <w:bottom w:val="single" w:color="000000" w:sz="4" w:space="0"/>
              <w:right w:val="nil"/>
            </w:tcBorders>
            <w:shd w:val="clear" w:color="auto" w:fill="auto"/>
            <w:noWrap/>
            <w:vAlign w:val="center"/>
          </w:tcPr>
          <w:p w14:paraId="6D33D7DF">
            <w:pPr>
              <w:keepNext w:val="0"/>
              <w:keepLines w:val="0"/>
              <w:widowControl/>
              <w:suppressLineNumbers w:val="0"/>
              <w:jc w:val="center"/>
              <w:textAlignment w:val="center"/>
              <w:rPr>
                <w:rFonts w:ascii="仿宋_GB2312" w:hAnsi="宋体" w:eastAsia="仿宋_GB2312" w:cs="仿宋_GB2312"/>
                <w:b/>
                <w:bCs/>
                <w:i w:val="0"/>
                <w:iCs w:val="0"/>
                <w:color w:val="auto"/>
                <w:sz w:val="32"/>
                <w:szCs w:val="32"/>
                <w:u w:val="none"/>
              </w:rPr>
            </w:pPr>
            <w:r>
              <w:rPr>
                <w:rFonts w:hint="eastAsia" w:ascii="仿宋_GB2312" w:hAnsi="宋体" w:eastAsia="仿宋_GB2312" w:cs="仿宋_GB2312"/>
                <w:b w:val="0"/>
                <w:bCs w:val="0"/>
                <w:i w:val="0"/>
                <w:iCs w:val="0"/>
                <w:snapToGrid w:val="0"/>
                <w:color w:val="auto"/>
                <w:kern w:val="0"/>
                <w:sz w:val="32"/>
                <w:szCs w:val="32"/>
                <w:u w:val="none"/>
                <w:lang w:val="en-US" w:eastAsia="zh-CN" w:bidi="ar"/>
              </w:rPr>
              <w:t>表10-1 近期重点项目一览表</w:t>
            </w:r>
          </w:p>
        </w:tc>
      </w:tr>
      <w:tr w14:paraId="32CC39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5000" w:type="pct"/>
            <w:gridSpan w:val="8"/>
            <w:vMerge w:val="continue"/>
            <w:tcBorders>
              <w:top w:val="nil"/>
              <w:left w:val="nil"/>
              <w:bottom w:val="single" w:color="000000" w:sz="4" w:space="0"/>
              <w:right w:val="nil"/>
            </w:tcBorders>
            <w:shd w:val="clear" w:color="auto" w:fill="auto"/>
            <w:noWrap/>
            <w:vAlign w:val="center"/>
          </w:tcPr>
          <w:p w14:paraId="0DF4ED31">
            <w:pPr>
              <w:jc w:val="center"/>
              <w:rPr>
                <w:rFonts w:hint="eastAsia" w:ascii="仿宋_GB2312" w:hAnsi="宋体" w:eastAsia="仿宋_GB2312" w:cs="仿宋_GB2312"/>
                <w:b/>
                <w:bCs/>
                <w:i w:val="0"/>
                <w:iCs w:val="0"/>
                <w:color w:val="auto"/>
                <w:sz w:val="32"/>
                <w:szCs w:val="32"/>
                <w:u w:val="none"/>
              </w:rPr>
            </w:pPr>
          </w:p>
        </w:tc>
      </w:tr>
      <w:tr w14:paraId="463AE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exact"/>
        </w:trPr>
        <w:tc>
          <w:tcPr>
            <w:tcW w:w="256" w:type="pct"/>
            <w:vMerge w:val="restart"/>
            <w:tcBorders>
              <w:top w:val="nil"/>
              <w:left w:val="single" w:color="000000" w:sz="4" w:space="0"/>
              <w:bottom w:val="single" w:color="000000" w:sz="4" w:space="0"/>
              <w:right w:val="single" w:color="000000" w:sz="4" w:space="0"/>
            </w:tcBorders>
            <w:shd w:val="clear" w:color="auto" w:fill="auto"/>
            <w:vAlign w:val="center"/>
          </w:tcPr>
          <w:p w14:paraId="594F83BB">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snapToGrid w:val="0"/>
                <w:color w:val="auto"/>
                <w:kern w:val="0"/>
                <w:sz w:val="24"/>
                <w:szCs w:val="24"/>
                <w:u w:val="none"/>
                <w:lang w:val="en-US" w:eastAsia="zh-CN" w:bidi="ar"/>
              </w:rPr>
              <w:t>序号</w:t>
            </w:r>
          </w:p>
        </w:tc>
        <w:tc>
          <w:tcPr>
            <w:tcW w:w="589" w:type="pct"/>
            <w:vMerge w:val="restart"/>
            <w:tcBorders>
              <w:top w:val="nil"/>
              <w:left w:val="single" w:color="000000" w:sz="4" w:space="0"/>
              <w:bottom w:val="single" w:color="000000" w:sz="4" w:space="0"/>
              <w:right w:val="single" w:color="000000" w:sz="4" w:space="0"/>
            </w:tcBorders>
            <w:shd w:val="clear" w:color="auto" w:fill="auto"/>
            <w:vAlign w:val="center"/>
          </w:tcPr>
          <w:p w14:paraId="633F0D1C">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snapToGrid w:val="0"/>
                <w:color w:val="auto"/>
                <w:kern w:val="0"/>
                <w:sz w:val="24"/>
                <w:szCs w:val="24"/>
                <w:u w:val="none"/>
                <w:lang w:val="en-US" w:eastAsia="zh-CN" w:bidi="ar"/>
              </w:rPr>
              <w:t>项目</w:t>
            </w:r>
            <w:r>
              <w:rPr>
                <w:rFonts w:hint="eastAsia" w:ascii="仿宋_GB2312" w:hAnsi="宋体" w:eastAsia="仿宋_GB2312" w:cs="仿宋_GB2312"/>
                <w:b/>
                <w:bCs/>
                <w:i w:val="0"/>
                <w:iCs w:val="0"/>
                <w:snapToGrid w:val="0"/>
                <w:color w:val="auto"/>
                <w:kern w:val="0"/>
                <w:sz w:val="24"/>
                <w:szCs w:val="24"/>
                <w:u w:val="none"/>
                <w:lang w:val="en-US" w:eastAsia="zh-CN" w:bidi="ar"/>
              </w:rPr>
              <w:br w:type="textWrapping"/>
            </w:r>
            <w:r>
              <w:rPr>
                <w:rFonts w:hint="eastAsia" w:ascii="仿宋_GB2312" w:hAnsi="宋体" w:eastAsia="仿宋_GB2312" w:cs="仿宋_GB2312"/>
                <w:b/>
                <w:bCs/>
                <w:i w:val="0"/>
                <w:iCs w:val="0"/>
                <w:snapToGrid w:val="0"/>
                <w:color w:val="auto"/>
                <w:kern w:val="0"/>
                <w:sz w:val="24"/>
                <w:szCs w:val="24"/>
                <w:u w:val="none"/>
                <w:lang w:val="en-US" w:eastAsia="zh-CN" w:bidi="ar"/>
              </w:rPr>
              <w:t>名称</w:t>
            </w:r>
          </w:p>
        </w:tc>
        <w:tc>
          <w:tcPr>
            <w:tcW w:w="574" w:type="pct"/>
            <w:vMerge w:val="restart"/>
            <w:tcBorders>
              <w:top w:val="nil"/>
              <w:left w:val="single" w:color="000000" w:sz="4" w:space="0"/>
              <w:bottom w:val="single" w:color="000000" w:sz="4" w:space="0"/>
              <w:right w:val="single" w:color="000000" w:sz="4" w:space="0"/>
            </w:tcBorders>
            <w:shd w:val="clear" w:color="auto" w:fill="auto"/>
            <w:vAlign w:val="center"/>
          </w:tcPr>
          <w:p w14:paraId="7086C527">
            <w:pPr>
              <w:keepNext w:val="0"/>
              <w:keepLines w:val="0"/>
              <w:widowControl/>
              <w:suppressLineNumbers w:val="0"/>
              <w:jc w:val="center"/>
              <w:textAlignment w:val="center"/>
              <w:rPr>
                <w:rFonts w:hint="eastAsia" w:ascii="仿宋_GB2312" w:hAnsi="宋体" w:eastAsia="仿宋_GB2312" w:cs="仿宋_GB2312"/>
                <w:b/>
                <w:bCs/>
                <w:i w:val="0"/>
                <w:iCs w:val="0"/>
                <w:snapToGrid w:val="0"/>
                <w:color w:val="auto"/>
                <w:kern w:val="0"/>
                <w:sz w:val="24"/>
                <w:szCs w:val="24"/>
                <w:u w:val="none"/>
                <w:lang w:val="en-US" w:eastAsia="zh-CN" w:bidi="ar"/>
              </w:rPr>
            </w:pPr>
            <w:r>
              <w:rPr>
                <w:rFonts w:hint="eastAsia" w:ascii="仿宋_GB2312" w:hAnsi="宋体" w:eastAsia="仿宋_GB2312" w:cs="仿宋_GB2312"/>
                <w:b/>
                <w:bCs/>
                <w:i w:val="0"/>
                <w:iCs w:val="0"/>
                <w:snapToGrid w:val="0"/>
                <w:color w:val="auto"/>
                <w:kern w:val="0"/>
                <w:sz w:val="24"/>
                <w:szCs w:val="24"/>
                <w:u w:val="none"/>
                <w:lang w:val="en-US" w:eastAsia="zh-CN" w:bidi="ar"/>
              </w:rPr>
              <w:t>建设</w:t>
            </w:r>
          </w:p>
          <w:p w14:paraId="53386150">
            <w:pPr>
              <w:keepNext w:val="0"/>
              <w:keepLines w:val="0"/>
              <w:widowControl/>
              <w:suppressLineNumbers w:val="0"/>
              <w:spacing w:line="240" w:lineRule="auto"/>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snapToGrid w:val="0"/>
                <w:color w:val="auto"/>
                <w:kern w:val="0"/>
                <w:sz w:val="24"/>
                <w:szCs w:val="24"/>
                <w:u w:val="none"/>
                <w:lang w:val="en-US" w:eastAsia="zh-CN" w:bidi="ar"/>
              </w:rPr>
              <w:t>地点</w:t>
            </w:r>
          </w:p>
        </w:tc>
        <w:tc>
          <w:tcPr>
            <w:tcW w:w="637" w:type="pct"/>
            <w:vMerge w:val="restart"/>
            <w:tcBorders>
              <w:top w:val="nil"/>
              <w:left w:val="single" w:color="000000" w:sz="4" w:space="0"/>
              <w:bottom w:val="single" w:color="000000" w:sz="4" w:space="0"/>
              <w:right w:val="single" w:color="000000" w:sz="4" w:space="0"/>
            </w:tcBorders>
            <w:shd w:val="clear" w:color="auto" w:fill="auto"/>
            <w:vAlign w:val="center"/>
          </w:tcPr>
          <w:p w14:paraId="16C12683">
            <w:pPr>
              <w:keepNext w:val="0"/>
              <w:keepLines w:val="0"/>
              <w:widowControl/>
              <w:suppressLineNumbers w:val="0"/>
              <w:jc w:val="center"/>
              <w:textAlignment w:val="center"/>
              <w:rPr>
                <w:rFonts w:hint="eastAsia" w:ascii="仿宋_GB2312" w:hAnsi="宋体" w:eastAsia="仿宋_GB2312" w:cs="仿宋_GB2312"/>
                <w:b/>
                <w:bCs/>
                <w:i w:val="0"/>
                <w:iCs w:val="0"/>
                <w:snapToGrid w:val="0"/>
                <w:color w:val="auto"/>
                <w:kern w:val="0"/>
                <w:sz w:val="24"/>
                <w:szCs w:val="24"/>
                <w:u w:val="none"/>
                <w:lang w:val="en-US" w:eastAsia="zh-CN" w:bidi="ar"/>
              </w:rPr>
            </w:pPr>
            <w:r>
              <w:rPr>
                <w:rFonts w:hint="eastAsia" w:ascii="仿宋_GB2312" w:hAnsi="宋体" w:eastAsia="仿宋_GB2312" w:cs="仿宋_GB2312"/>
                <w:b/>
                <w:bCs/>
                <w:i w:val="0"/>
                <w:iCs w:val="0"/>
                <w:snapToGrid w:val="0"/>
                <w:color w:val="auto"/>
                <w:kern w:val="0"/>
                <w:sz w:val="24"/>
                <w:szCs w:val="24"/>
                <w:u w:val="none"/>
                <w:lang w:val="en-US" w:eastAsia="zh-CN" w:bidi="ar"/>
              </w:rPr>
              <w:t>建设</w:t>
            </w:r>
          </w:p>
          <w:p w14:paraId="20382516">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snapToGrid w:val="0"/>
                <w:color w:val="auto"/>
                <w:kern w:val="0"/>
                <w:sz w:val="24"/>
                <w:szCs w:val="24"/>
                <w:u w:val="none"/>
                <w:lang w:val="en-US" w:eastAsia="zh-CN" w:bidi="ar"/>
              </w:rPr>
              <w:t>主体</w:t>
            </w:r>
          </w:p>
        </w:tc>
        <w:tc>
          <w:tcPr>
            <w:tcW w:w="1056" w:type="pct"/>
            <w:vMerge w:val="restart"/>
            <w:tcBorders>
              <w:top w:val="nil"/>
              <w:left w:val="single" w:color="000000" w:sz="4" w:space="0"/>
              <w:bottom w:val="single" w:color="000000" w:sz="4" w:space="0"/>
              <w:right w:val="single" w:color="000000" w:sz="4" w:space="0"/>
            </w:tcBorders>
            <w:shd w:val="clear" w:color="auto" w:fill="auto"/>
            <w:vAlign w:val="center"/>
          </w:tcPr>
          <w:p w14:paraId="62549393">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snapToGrid w:val="0"/>
                <w:color w:val="auto"/>
                <w:kern w:val="0"/>
                <w:sz w:val="24"/>
                <w:szCs w:val="24"/>
                <w:u w:val="none"/>
                <w:lang w:val="en-US" w:eastAsia="zh-CN" w:bidi="ar"/>
              </w:rPr>
              <w:t>建设规模</w:t>
            </w:r>
          </w:p>
        </w:tc>
        <w:tc>
          <w:tcPr>
            <w:tcW w:w="369" w:type="pct"/>
            <w:vMerge w:val="restart"/>
            <w:tcBorders>
              <w:top w:val="nil"/>
              <w:left w:val="single" w:color="000000" w:sz="4" w:space="0"/>
              <w:bottom w:val="single" w:color="000000" w:sz="4" w:space="0"/>
              <w:right w:val="single" w:color="000000" w:sz="4" w:space="0"/>
            </w:tcBorders>
            <w:shd w:val="clear" w:color="auto" w:fill="auto"/>
            <w:vAlign w:val="center"/>
          </w:tcPr>
          <w:p w14:paraId="56A61075">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snapToGrid w:val="0"/>
                <w:color w:val="auto"/>
                <w:kern w:val="0"/>
                <w:sz w:val="24"/>
                <w:szCs w:val="24"/>
                <w:u w:val="none"/>
                <w:lang w:val="en-US" w:eastAsia="zh-CN" w:bidi="ar"/>
              </w:rPr>
              <w:t>建设</w:t>
            </w:r>
            <w:r>
              <w:rPr>
                <w:rFonts w:hint="eastAsia" w:ascii="仿宋_GB2312" w:hAnsi="宋体" w:eastAsia="仿宋_GB2312" w:cs="仿宋_GB2312"/>
                <w:b/>
                <w:bCs/>
                <w:i w:val="0"/>
                <w:iCs w:val="0"/>
                <w:snapToGrid w:val="0"/>
                <w:color w:val="auto"/>
                <w:kern w:val="0"/>
                <w:sz w:val="24"/>
                <w:szCs w:val="24"/>
                <w:u w:val="none"/>
                <w:lang w:val="en-US" w:eastAsia="zh-CN" w:bidi="ar"/>
              </w:rPr>
              <w:br w:type="textWrapping"/>
            </w:r>
            <w:r>
              <w:rPr>
                <w:rFonts w:hint="eastAsia" w:ascii="仿宋_GB2312" w:hAnsi="宋体" w:eastAsia="仿宋_GB2312" w:cs="仿宋_GB2312"/>
                <w:b/>
                <w:bCs/>
                <w:i w:val="0"/>
                <w:iCs w:val="0"/>
                <w:snapToGrid w:val="0"/>
                <w:color w:val="auto"/>
                <w:kern w:val="0"/>
                <w:sz w:val="24"/>
                <w:szCs w:val="24"/>
                <w:u w:val="none"/>
                <w:lang w:val="en-US" w:eastAsia="zh-CN" w:bidi="ar"/>
              </w:rPr>
              <w:t>性质</w:t>
            </w:r>
          </w:p>
        </w:tc>
        <w:tc>
          <w:tcPr>
            <w:tcW w:w="797" w:type="pct"/>
            <w:vMerge w:val="restart"/>
            <w:tcBorders>
              <w:top w:val="nil"/>
              <w:left w:val="single" w:color="000000" w:sz="4" w:space="0"/>
              <w:bottom w:val="single" w:color="000000" w:sz="4" w:space="0"/>
              <w:right w:val="single" w:color="000000" w:sz="4" w:space="0"/>
            </w:tcBorders>
            <w:shd w:val="clear" w:color="auto" w:fill="auto"/>
            <w:noWrap/>
            <w:vAlign w:val="center"/>
          </w:tcPr>
          <w:p w14:paraId="49695056">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snapToGrid w:val="0"/>
                <w:color w:val="auto"/>
                <w:kern w:val="0"/>
                <w:sz w:val="24"/>
                <w:szCs w:val="24"/>
                <w:u w:val="none"/>
                <w:lang w:val="en-US" w:eastAsia="zh-CN" w:bidi="ar"/>
              </w:rPr>
              <w:t>建设年限</w:t>
            </w:r>
          </w:p>
        </w:tc>
        <w:tc>
          <w:tcPr>
            <w:tcW w:w="718" w:type="pct"/>
            <w:vMerge w:val="restart"/>
            <w:tcBorders>
              <w:top w:val="nil"/>
              <w:left w:val="single" w:color="000000" w:sz="4" w:space="0"/>
              <w:bottom w:val="single" w:color="000000" w:sz="4" w:space="0"/>
              <w:right w:val="single" w:color="000000" w:sz="4" w:space="0"/>
            </w:tcBorders>
            <w:shd w:val="clear" w:color="auto" w:fill="auto"/>
            <w:noWrap/>
            <w:vAlign w:val="center"/>
          </w:tcPr>
          <w:p w14:paraId="77DC1B1C">
            <w:pPr>
              <w:keepNext w:val="0"/>
              <w:keepLines w:val="0"/>
              <w:widowControl/>
              <w:suppressLineNumbers w:val="0"/>
              <w:jc w:val="center"/>
              <w:textAlignment w:val="center"/>
              <w:rPr>
                <w:rFonts w:hint="eastAsia" w:ascii="仿宋_GB2312" w:hAnsi="宋体" w:eastAsia="仿宋_GB2312" w:cs="仿宋_GB2312"/>
                <w:b/>
                <w:bCs/>
                <w:i w:val="0"/>
                <w:iCs w:val="0"/>
                <w:color w:val="auto"/>
                <w:sz w:val="24"/>
                <w:szCs w:val="24"/>
                <w:u w:val="none"/>
              </w:rPr>
            </w:pPr>
            <w:r>
              <w:rPr>
                <w:rFonts w:hint="eastAsia" w:ascii="仿宋_GB2312" w:hAnsi="宋体" w:eastAsia="仿宋_GB2312" w:cs="仿宋_GB2312"/>
                <w:b/>
                <w:bCs/>
                <w:i w:val="0"/>
                <w:iCs w:val="0"/>
                <w:snapToGrid w:val="0"/>
                <w:color w:val="auto"/>
                <w:kern w:val="0"/>
                <w:sz w:val="24"/>
                <w:szCs w:val="24"/>
                <w:u w:val="none"/>
                <w:lang w:val="en-US" w:eastAsia="zh-CN" w:bidi="ar"/>
              </w:rPr>
              <w:t>资金来源</w:t>
            </w:r>
          </w:p>
        </w:tc>
      </w:tr>
      <w:tr w14:paraId="7BCE6A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56" w:type="pct"/>
            <w:vMerge w:val="continue"/>
            <w:tcBorders>
              <w:top w:val="nil"/>
              <w:left w:val="single" w:color="000000" w:sz="4" w:space="0"/>
              <w:bottom w:val="single" w:color="000000" w:sz="4" w:space="0"/>
              <w:right w:val="single" w:color="000000" w:sz="4" w:space="0"/>
            </w:tcBorders>
            <w:shd w:val="clear" w:color="auto" w:fill="auto"/>
            <w:vAlign w:val="center"/>
          </w:tcPr>
          <w:p w14:paraId="2A9CA527">
            <w:pPr>
              <w:jc w:val="center"/>
              <w:rPr>
                <w:rFonts w:hint="eastAsia" w:ascii="仿宋_GB2312" w:hAnsi="宋体" w:eastAsia="仿宋_GB2312" w:cs="仿宋_GB2312"/>
                <w:b/>
                <w:bCs/>
                <w:i w:val="0"/>
                <w:iCs w:val="0"/>
                <w:color w:val="auto"/>
                <w:sz w:val="24"/>
                <w:szCs w:val="24"/>
                <w:u w:val="none"/>
              </w:rPr>
            </w:pPr>
          </w:p>
        </w:tc>
        <w:tc>
          <w:tcPr>
            <w:tcW w:w="589" w:type="pct"/>
            <w:vMerge w:val="continue"/>
            <w:tcBorders>
              <w:top w:val="nil"/>
              <w:left w:val="single" w:color="000000" w:sz="4" w:space="0"/>
              <w:bottom w:val="single" w:color="000000" w:sz="4" w:space="0"/>
              <w:right w:val="single" w:color="000000" w:sz="4" w:space="0"/>
            </w:tcBorders>
            <w:shd w:val="clear" w:color="auto" w:fill="auto"/>
            <w:vAlign w:val="center"/>
          </w:tcPr>
          <w:p w14:paraId="626AB396">
            <w:pPr>
              <w:jc w:val="center"/>
              <w:rPr>
                <w:rFonts w:hint="eastAsia" w:ascii="仿宋_GB2312" w:hAnsi="宋体" w:eastAsia="仿宋_GB2312" w:cs="仿宋_GB2312"/>
                <w:b/>
                <w:bCs/>
                <w:i w:val="0"/>
                <w:iCs w:val="0"/>
                <w:color w:val="auto"/>
                <w:sz w:val="24"/>
                <w:szCs w:val="24"/>
                <w:u w:val="none"/>
              </w:rPr>
            </w:pPr>
          </w:p>
        </w:tc>
        <w:tc>
          <w:tcPr>
            <w:tcW w:w="574" w:type="pct"/>
            <w:vMerge w:val="continue"/>
            <w:tcBorders>
              <w:top w:val="nil"/>
              <w:left w:val="single" w:color="000000" w:sz="4" w:space="0"/>
              <w:bottom w:val="single" w:color="000000" w:sz="4" w:space="0"/>
              <w:right w:val="single" w:color="000000" w:sz="4" w:space="0"/>
            </w:tcBorders>
            <w:shd w:val="clear" w:color="auto" w:fill="auto"/>
            <w:vAlign w:val="center"/>
          </w:tcPr>
          <w:p w14:paraId="43B15E98">
            <w:pPr>
              <w:jc w:val="center"/>
              <w:rPr>
                <w:rFonts w:hint="eastAsia" w:ascii="仿宋_GB2312" w:hAnsi="宋体" w:eastAsia="仿宋_GB2312" w:cs="仿宋_GB2312"/>
                <w:b/>
                <w:bCs/>
                <w:i w:val="0"/>
                <w:iCs w:val="0"/>
                <w:color w:val="auto"/>
                <w:sz w:val="24"/>
                <w:szCs w:val="24"/>
                <w:u w:val="none"/>
              </w:rPr>
            </w:pPr>
          </w:p>
        </w:tc>
        <w:tc>
          <w:tcPr>
            <w:tcW w:w="637" w:type="pct"/>
            <w:vMerge w:val="continue"/>
            <w:tcBorders>
              <w:top w:val="nil"/>
              <w:left w:val="single" w:color="000000" w:sz="4" w:space="0"/>
              <w:bottom w:val="single" w:color="000000" w:sz="4" w:space="0"/>
              <w:right w:val="single" w:color="000000" w:sz="4" w:space="0"/>
            </w:tcBorders>
            <w:shd w:val="clear" w:color="auto" w:fill="auto"/>
            <w:vAlign w:val="center"/>
          </w:tcPr>
          <w:p w14:paraId="366BDA7A">
            <w:pPr>
              <w:jc w:val="center"/>
              <w:rPr>
                <w:rFonts w:hint="eastAsia" w:ascii="仿宋_GB2312" w:hAnsi="宋体" w:eastAsia="仿宋_GB2312" w:cs="仿宋_GB2312"/>
                <w:b/>
                <w:bCs/>
                <w:i w:val="0"/>
                <w:iCs w:val="0"/>
                <w:color w:val="auto"/>
                <w:sz w:val="24"/>
                <w:szCs w:val="24"/>
                <w:u w:val="none"/>
              </w:rPr>
            </w:pPr>
          </w:p>
        </w:tc>
        <w:tc>
          <w:tcPr>
            <w:tcW w:w="1056" w:type="pct"/>
            <w:vMerge w:val="continue"/>
            <w:tcBorders>
              <w:top w:val="nil"/>
              <w:left w:val="single" w:color="000000" w:sz="4" w:space="0"/>
              <w:bottom w:val="single" w:color="000000" w:sz="4" w:space="0"/>
              <w:right w:val="single" w:color="000000" w:sz="4" w:space="0"/>
            </w:tcBorders>
            <w:shd w:val="clear" w:color="auto" w:fill="auto"/>
            <w:vAlign w:val="center"/>
          </w:tcPr>
          <w:p w14:paraId="546FC245">
            <w:pPr>
              <w:jc w:val="center"/>
              <w:rPr>
                <w:rFonts w:hint="eastAsia" w:ascii="仿宋_GB2312" w:hAnsi="宋体" w:eastAsia="仿宋_GB2312" w:cs="仿宋_GB2312"/>
                <w:b/>
                <w:bCs/>
                <w:i w:val="0"/>
                <w:iCs w:val="0"/>
                <w:color w:val="auto"/>
                <w:sz w:val="24"/>
                <w:szCs w:val="24"/>
                <w:u w:val="none"/>
              </w:rPr>
            </w:pPr>
          </w:p>
        </w:tc>
        <w:tc>
          <w:tcPr>
            <w:tcW w:w="369" w:type="pct"/>
            <w:vMerge w:val="continue"/>
            <w:tcBorders>
              <w:top w:val="nil"/>
              <w:left w:val="single" w:color="000000" w:sz="4" w:space="0"/>
              <w:bottom w:val="single" w:color="000000" w:sz="4" w:space="0"/>
              <w:right w:val="single" w:color="000000" w:sz="4" w:space="0"/>
            </w:tcBorders>
            <w:shd w:val="clear" w:color="auto" w:fill="auto"/>
            <w:vAlign w:val="center"/>
          </w:tcPr>
          <w:p w14:paraId="5C7C9B9D">
            <w:pPr>
              <w:jc w:val="center"/>
              <w:rPr>
                <w:rFonts w:hint="eastAsia" w:ascii="仿宋_GB2312" w:hAnsi="宋体" w:eastAsia="仿宋_GB2312" w:cs="仿宋_GB2312"/>
                <w:b/>
                <w:bCs/>
                <w:i w:val="0"/>
                <w:iCs w:val="0"/>
                <w:color w:val="auto"/>
                <w:sz w:val="24"/>
                <w:szCs w:val="24"/>
                <w:u w:val="none"/>
              </w:rPr>
            </w:pPr>
          </w:p>
        </w:tc>
        <w:tc>
          <w:tcPr>
            <w:tcW w:w="797" w:type="pct"/>
            <w:vMerge w:val="continue"/>
            <w:tcBorders>
              <w:top w:val="nil"/>
              <w:left w:val="single" w:color="000000" w:sz="4" w:space="0"/>
              <w:bottom w:val="single" w:color="000000" w:sz="4" w:space="0"/>
              <w:right w:val="single" w:color="000000" w:sz="4" w:space="0"/>
            </w:tcBorders>
            <w:shd w:val="clear" w:color="auto" w:fill="auto"/>
            <w:noWrap/>
            <w:vAlign w:val="center"/>
          </w:tcPr>
          <w:p w14:paraId="7C4CF8BF">
            <w:pPr>
              <w:jc w:val="center"/>
              <w:rPr>
                <w:rFonts w:hint="eastAsia" w:ascii="仿宋_GB2312" w:hAnsi="宋体" w:eastAsia="仿宋_GB2312" w:cs="仿宋_GB2312"/>
                <w:b/>
                <w:bCs/>
                <w:i w:val="0"/>
                <w:iCs w:val="0"/>
                <w:color w:val="auto"/>
                <w:sz w:val="24"/>
                <w:szCs w:val="24"/>
                <w:u w:val="none"/>
              </w:rPr>
            </w:pPr>
          </w:p>
        </w:tc>
        <w:tc>
          <w:tcPr>
            <w:tcW w:w="718" w:type="pct"/>
            <w:vMerge w:val="continue"/>
            <w:tcBorders>
              <w:top w:val="nil"/>
              <w:left w:val="single" w:color="000000" w:sz="4" w:space="0"/>
              <w:bottom w:val="single" w:color="000000" w:sz="4" w:space="0"/>
              <w:right w:val="single" w:color="000000" w:sz="4" w:space="0"/>
            </w:tcBorders>
            <w:shd w:val="clear" w:color="auto" w:fill="auto"/>
            <w:noWrap/>
            <w:vAlign w:val="center"/>
          </w:tcPr>
          <w:p w14:paraId="75CD59F1">
            <w:pPr>
              <w:jc w:val="center"/>
              <w:rPr>
                <w:rFonts w:hint="eastAsia" w:ascii="仿宋_GB2312" w:hAnsi="宋体" w:eastAsia="仿宋_GB2312" w:cs="仿宋_GB2312"/>
                <w:b/>
                <w:bCs/>
                <w:i w:val="0"/>
                <w:iCs w:val="0"/>
                <w:color w:val="auto"/>
                <w:sz w:val="24"/>
                <w:szCs w:val="24"/>
                <w:u w:val="none"/>
              </w:rPr>
            </w:pPr>
          </w:p>
        </w:tc>
      </w:tr>
      <w:tr w14:paraId="3E5634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56" w:type="pct"/>
            <w:vMerge w:val="continue"/>
            <w:tcBorders>
              <w:top w:val="nil"/>
              <w:left w:val="single" w:color="000000" w:sz="4" w:space="0"/>
              <w:bottom w:val="single" w:color="000000" w:sz="4" w:space="0"/>
              <w:right w:val="single" w:color="000000" w:sz="4" w:space="0"/>
            </w:tcBorders>
            <w:shd w:val="clear" w:color="auto" w:fill="auto"/>
            <w:vAlign w:val="center"/>
          </w:tcPr>
          <w:p w14:paraId="3FEDA6E6">
            <w:pPr>
              <w:jc w:val="center"/>
              <w:rPr>
                <w:rFonts w:hint="eastAsia" w:ascii="仿宋_GB2312" w:hAnsi="宋体" w:eastAsia="仿宋_GB2312" w:cs="仿宋_GB2312"/>
                <w:b/>
                <w:bCs/>
                <w:i w:val="0"/>
                <w:iCs w:val="0"/>
                <w:color w:val="auto"/>
                <w:sz w:val="24"/>
                <w:szCs w:val="24"/>
                <w:u w:val="none"/>
              </w:rPr>
            </w:pPr>
          </w:p>
        </w:tc>
        <w:tc>
          <w:tcPr>
            <w:tcW w:w="589" w:type="pct"/>
            <w:vMerge w:val="continue"/>
            <w:tcBorders>
              <w:top w:val="nil"/>
              <w:left w:val="single" w:color="000000" w:sz="4" w:space="0"/>
              <w:bottom w:val="single" w:color="000000" w:sz="4" w:space="0"/>
              <w:right w:val="single" w:color="000000" w:sz="4" w:space="0"/>
            </w:tcBorders>
            <w:shd w:val="clear" w:color="auto" w:fill="auto"/>
            <w:vAlign w:val="center"/>
          </w:tcPr>
          <w:p w14:paraId="4C011D95">
            <w:pPr>
              <w:jc w:val="center"/>
              <w:rPr>
                <w:rFonts w:hint="eastAsia" w:ascii="仿宋_GB2312" w:hAnsi="宋体" w:eastAsia="仿宋_GB2312" w:cs="仿宋_GB2312"/>
                <w:b/>
                <w:bCs/>
                <w:i w:val="0"/>
                <w:iCs w:val="0"/>
                <w:color w:val="auto"/>
                <w:sz w:val="24"/>
                <w:szCs w:val="24"/>
                <w:u w:val="none"/>
              </w:rPr>
            </w:pPr>
          </w:p>
        </w:tc>
        <w:tc>
          <w:tcPr>
            <w:tcW w:w="574" w:type="pct"/>
            <w:vMerge w:val="continue"/>
            <w:tcBorders>
              <w:top w:val="nil"/>
              <w:left w:val="single" w:color="000000" w:sz="4" w:space="0"/>
              <w:bottom w:val="single" w:color="000000" w:sz="4" w:space="0"/>
              <w:right w:val="single" w:color="000000" w:sz="4" w:space="0"/>
            </w:tcBorders>
            <w:shd w:val="clear" w:color="auto" w:fill="auto"/>
            <w:vAlign w:val="center"/>
          </w:tcPr>
          <w:p w14:paraId="6A0E50A6">
            <w:pPr>
              <w:jc w:val="center"/>
              <w:rPr>
                <w:rFonts w:hint="eastAsia" w:ascii="仿宋_GB2312" w:hAnsi="宋体" w:eastAsia="仿宋_GB2312" w:cs="仿宋_GB2312"/>
                <w:b/>
                <w:bCs/>
                <w:i w:val="0"/>
                <w:iCs w:val="0"/>
                <w:color w:val="auto"/>
                <w:sz w:val="24"/>
                <w:szCs w:val="24"/>
                <w:u w:val="none"/>
              </w:rPr>
            </w:pPr>
          </w:p>
        </w:tc>
        <w:tc>
          <w:tcPr>
            <w:tcW w:w="637" w:type="pct"/>
            <w:vMerge w:val="continue"/>
            <w:tcBorders>
              <w:top w:val="nil"/>
              <w:left w:val="single" w:color="000000" w:sz="4" w:space="0"/>
              <w:bottom w:val="single" w:color="000000" w:sz="4" w:space="0"/>
              <w:right w:val="single" w:color="000000" w:sz="4" w:space="0"/>
            </w:tcBorders>
            <w:shd w:val="clear" w:color="auto" w:fill="auto"/>
            <w:vAlign w:val="center"/>
          </w:tcPr>
          <w:p w14:paraId="702B18FF">
            <w:pPr>
              <w:jc w:val="center"/>
              <w:rPr>
                <w:rFonts w:hint="eastAsia" w:ascii="仿宋_GB2312" w:hAnsi="宋体" w:eastAsia="仿宋_GB2312" w:cs="仿宋_GB2312"/>
                <w:b/>
                <w:bCs/>
                <w:i w:val="0"/>
                <w:iCs w:val="0"/>
                <w:color w:val="auto"/>
                <w:sz w:val="24"/>
                <w:szCs w:val="24"/>
                <w:u w:val="none"/>
              </w:rPr>
            </w:pPr>
          </w:p>
        </w:tc>
        <w:tc>
          <w:tcPr>
            <w:tcW w:w="1056" w:type="pct"/>
            <w:vMerge w:val="continue"/>
            <w:tcBorders>
              <w:top w:val="nil"/>
              <w:left w:val="single" w:color="000000" w:sz="4" w:space="0"/>
              <w:bottom w:val="single" w:color="000000" w:sz="4" w:space="0"/>
              <w:right w:val="single" w:color="000000" w:sz="4" w:space="0"/>
            </w:tcBorders>
            <w:shd w:val="clear" w:color="auto" w:fill="auto"/>
            <w:vAlign w:val="center"/>
          </w:tcPr>
          <w:p w14:paraId="76C1453C">
            <w:pPr>
              <w:jc w:val="center"/>
              <w:rPr>
                <w:rFonts w:hint="eastAsia" w:ascii="仿宋_GB2312" w:hAnsi="宋体" w:eastAsia="仿宋_GB2312" w:cs="仿宋_GB2312"/>
                <w:b/>
                <w:bCs/>
                <w:i w:val="0"/>
                <w:iCs w:val="0"/>
                <w:color w:val="auto"/>
                <w:sz w:val="24"/>
                <w:szCs w:val="24"/>
                <w:u w:val="none"/>
              </w:rPr>
            </w:pPr>
          </w:p>
        </w:tc>
        <w:tc>
          <w:tcPr>
            <w:tcW w:w="369" w:type="pct"/>
            <w:vMerge w:val="continue"/>
            <w:tcBorders>
              <w:top w:val="nil"/>
              <w:left w:val="single" w:color="000000" w:sz="4" w:space="0"/>
              <w:bottom w:val="single" w:color="000000" w:sz="4" w:space="0"/>
              <w:right w:val="single" w:color="000000" w:sz="4" w:space="0"/>
            </w:tcBorders>
            <w:shd w:val="clear" w:color="auto" w:fill="auto"/>
            <w:vAlign w:val="center"/>
          </w:tcPr>
          <w:p w14:paraId="00C66F37">
            <w:pPr>
              <w:jc w:val="center"/>
              <w:rPr>
                <w:rFonts w:hint="eastAsia" w:ascii="仿宋_GB2312" w:hAnsi="宋体" w:eastAsia="仿宋_GB2312" w:cs="仿宋_GB2312"/>
                <w:b/>
                <w:bCs/>
                <w:i w:val="0"/>
                <w:iCs w:val="0"/>
                <w:color w:val="auto"/>
                <w:sz w:val="24"/>
                <w:szCs w:val="24"/>
                <w:u w:val="none"/>
              </w:rPr>
            </w:pPr>
          </w:p>
        </w:tc>
        <w:tc>
          <w:tcPr>
            <w:tcW w:w="797" w:type="pct"/>
            <w:vMerge w:val="continue"/>
            <w:tcBorders>
              <w:top w:val="nil"/>
              <w:left w:val="single" w:color="000000" w:sz="4" w:space="0"/>
              <w:bottom w:val="single" w:color="000000" w:sz="4" w:space="0"/>
              <w:right w:val="single" w:color="000000" w:sz="4" w:space="0"/>
            </w:tcBorders>
            <w:shd w:val="clear" w:color="auto" w:fill="auto"/>
            <w:noWrap/>
            <w:vAlign w:val="center"/>
          </w:tcPr>
          <w:p w14:paraId="3EB06647">
            <w:pPr>
              <w:jc w:val="center"/>
              <w:rPr>
                <w:rFonts w:hint="eastAsia" w:ascii="仿宋_GB2312" w:hAnsi="宋体" w:eastAsia="仿宋_GB2312" w:cs="仿宋_GB2312"/>
                <w:b/>
                <w:bCs/>
                <w:i w:val="0"/>
                <w:iCs w:val="0"/>
                <w:color w:val="auto"/>
                <w:sz w:val="24"/>
                <w:szCs w:val="24"/>
                <w:u w:val="none"/>
              </w:rPr>
            </w:pPr>
          </w:p>
        </w:tc>
        <w:tc>
          <w:tcPr>
            <w:tcW w:w="718" w:type="pct"/>
            <w:vMerge w:val="continue"/>
            <w:tcBorders>
              <w:top w:val="nil"/>
              <w:left w:val="single" w:color="000000" w:sz="4" w:space="0"/>
              <w:bottom w:val="single" w:color="000000" w:sz="4" w:space="0"/>
              <w:right w:val="single" w:color="000000" w:sz="4" w:space="0"/>
            </w:tcBorders>
            <w:shd w:val="clear" w:color="auto" w:fill="auto"/>
            <w:noWrap/>
            <w:vAlign w:val="center"/>
          </w:tcPr>
          <w:p w14:paraId="75604F9C">
            <w:pPr>
              <w:jc w:val="center"/>
              <w:rPr>
                <w:rFonts w:hint="eastAsia" w:ascii="仿宋_GB2312" w:hAnsi="宋体" w:eastAsia="仿宋_GB2312" w:cs="仿宋_GB2312"/>
                <w:b/>
                <w:bCs/>
                <w:i w:val="0"/>
                <w:iCs w:val="0"/>
                <w:color w:val="auto"/>
                <w:sz w:val="24"/>
                <w:szCs w:val="24"/>
                <w:u w:val="none"/>
              </w:rPr>
            </w:pPr>
          </w:p>
        </w:tc>
      </w:tr>
      <w:tr w14:paraId="34175E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56" w:type="pct"/>
            <w:vMerge w:val="continue"/>
            <w:tcBorders>
              <w:top w:val="nil"/>
              <w:left w:val="single" w:color="000000" w:sz="4" w:space="0"/>
              <w:bottom w:val="single" w:color="000000" w:sz="4" w:space="0"/>
              <w:right w:val="single" w:color="000000" w:sz="4" w:space="0"/>
            </w:tcBorders>
            <w:shd w:val="clear" w:color="auto" w:fill="auto"/>
            <w:vAlign w:val="center"/>
          </w:tcPr>
          <w:p w14:paraId="644E7C22">
            <w:pPr>
              <w:jc w:val="center"/>
              <w:rPr>
                <w:rFonts w:hint="eastAsia" w:ascii="仿宋_GB2312" w:hAnsi="宋体" w:eastAsia="仿宋_GB2312" w:cs="仿宋_GB2312"/>
                <w:b/>
                <w:bCs/>
                <w:i w:val="0"/>
                <w:iCs w:val="0"/>
                <w:color w:val="auto"/>
                <w:sz w:val="24"/>
                <w:szCs w:val="24"/>
                <w:u w:val="none"/>
              </w:rPr>
            </w:pPr>
          </w:p>
        </w:tc>
        <w:tc>
          <w:tcPr>
            <w:tcW w:w="589" w:type="pct"/>
            <w:vMerge w:val="continue"/>
            <w:tcBorders>
              <w:top w:val="nil"/>
              <w:left w:val="single" w:color="000000" w:sz="4" w:space="0"/>
              <w:bottom w:val="single" w:color="000000" w:sz="4" w:space="0"/>
              <w:right w:val="single" w:color="000000" w:sz="4" w:space="0"/>
            </w:tcBorders>
            <w:shd w:val="clear" w:color="auto" w:fill="auto"/>
            <w:vAlign w:val="center"/>
          </w:tcPr>
          <w:p w14:paraId="39B27252">
            <w:pPr>
              <w:jc w:val="center"/>
              <w:rPr>
                <w:rFonts w:hint="eastAsia" w:ascii="仿宋_GB2312" w:hAnsi="宋体" w:eastAsia="仿宋_GB2312" w:cs="仿宋_GB2312"/>
                <w:b/>
                <w:bCs/>
                <w:i w:val="0"/>
                <w:iCs w:val="0"/>
                <w:color w:val="auto"/>
                <w:sz w:val="24"/>
                <w:szCs w:val="24"/>
                <w:u w:val="none"/>
              </w:rPr>
            </w:pPr>
          </w:p>
        </w:tc>
        <w:tc>
          <w:tcPr>
            <w:tcW w:w="574" w:type="pct"/>
            <w:vMerge w:val="continue"/>
            <w:tcBorders>
              <w:top w:val="nil"/>
              <w:left w:val="single" w:color="000000" w:sz="4" w:space="0"/>
              <w:bottom w:val="single" w:color="000000" w:sz="4" w:space="0"/>
              <w:right w:val="single" w:color="000000" w:sz="4" w:space="0"/>
            </w:tcBorders>
            <w:shd w:val="clear" w:color="auto" w:fill="auto"/>
            <w:vAlign w:val="center"/>
          </w:tcPr>
          <w:p w14:paraId="31DEF1B6">
            <w:pPr>
              <w:jc w:val="center"/>
              <w:rPr>
                <w:rFonts w:hint="eastAsia" w:ascii="仿宋_GB2312" w:hAnsi="宋体" w:eastAsia="仿宋_GB2312" w:cs="仿宋_GB2312"/>
                <w:b/>
                <w:bCs/>
                <w:i w:val="0"/>
                <w:iCs w:val="0"/>
                <w:color w:val="auto"/>
                <w:sz w:val="24"/>
                <w:szCs w:val="24"/>
                <w:u w:val="none"/>
              </w:rPr>
            </w:pPr>
          </w:p>
        </w:tc>
        <w:tc>
          <w:tcPr>
            <w:tcW w:w="637" w:type="pct"/>
            <w:vMerge w:val="continue"/>
            <w:tcBorders>
              <w:top w:val="nil"/>
              <w:left w:val="single" w:color="000000" w:sz="4" w:space="0"/>
              <w:bottom w:val="single" w:color="000000" w:sz="4" w:space="0"/>
              <w:right w:val="single" w:color="000000" w:sz="4" w:space="0"/>
            </w:tcBorders>
            <w:shd w:val="clear" w:color="auto" w:fill="auto"/>
            <w:vAlign w:val="center"/>
          </w:tcPr>
          <w:p w14:paraId="554571E3">
            <w:pPr>
              <w:jc w:val="center"/>
              <w:rPr>
                <w:rFonts w:hint="eastAsia" w:ascii="仿宋_GB2312" w:hAnsi="宋体" w:eastAsia="仿宋_GB2312" w:cs="仿宋_GB2312"/>
                <w:b/>
                <w:bCs/>
                <w:i w:val="0"/>
                <w:iCs w:val="0"/>
                <w:color w:val="auto"/>
                <w:sz w:val="24"/>
                <w:szCs w:val="24"/>
                <w:u w:val="none"/>
              </w:rPr>
            </w:pPr>
          </w:p>
        </w:tc>
        <w:tc>
          <w:tcPr>
            <w:tcW w:w="1056" w:type="pct"/>
            <w:vMerge w:val="continue"/>
            <w:tcBorders>
              <w:top w:val="nil"/>
              <w:left w:val="single" w:color="000000" w:sz="4" w:space="0"/>
              <w:bottom w:val="single" w:color="000000" w:sz="4" w:space="0"/>
              <w:right w:val="single" w:color="000000" w:sz="4" w:space="0"/>
            </w:tcBorders>
            <w:shd w:val="clear" w:color="auto" w:fill="auto"/>
            <w:vAlign w:val="center"/>
          </w:tcPr>
          <w:p w14:paraId="1513BD19">
            <w:pPr>
              <w:jc w:val="center"/>
              <w:rPr>
                <w:rFonts w:hint="eastAsia" w:ascii="仿宋_GB2312" w:hAnsi="宋体" w:eastAsia="仿宋_GB2312" w:cs="仿宋_GB2312"/>
                <w:b/>
                <w:bCs/>
                <w:i w:val="0"/>
                <w:iCs w:val="0"/>
                <w:color w:val="auto"/>
                <w:sz w:val="24"/>
                <w:szCs w:val="24"/>
                <w:u w:val="none"/>
              </w:rPr>
            </w:pPr>
          </w:p>
        </w:tc>
        <w:tc>
          <w:tcPr>
            <w:tcW w:w="369" w:type="pct"/>
            <w:vMerge w:val="continue"/>
            <w:tcBorders>
              <w:top w:val="nil"/>
              <w:left w:val="single" w:color="000000" w:sz="4" w:space="0"/>
              <w:bottom w:val="single" w:color="000000" w:sz="4" w:space="0"/>
              <w:right w:val="single" w:color="000000" w:sz="4" w:space="0"/>
            </w:tcBorders>
            <w:shd w:val="clear" w:color="auto" w:fill="auto"/>
            <w:vAlign w:val="center"/>
          </w:tcPr>
          <w:p w14:paraId="4D4979A9">
            <w:pPr>
              <w:jc w:val="center"/>
              <w:rPr>
                <w:rFonts w:hint="eastAsia" w:ascii="仿宋_GB2312" w:hAnsi="宋体" w:eastAsia="仿宋_GB2312" w:cs="仿宋_GB2312"/>
                <w:b/>
                <w:bCs/>
                <w:i w:val="0"/>
                <w:iCs w:val="0"/>
                <w:color w:val="auto"/>
                <w:sz w:val="24"/>
                <w:szCs w:val="24"/>
                <w:u w:val="none"/>
              </w:rPr>
            </w:pPr>
          </w:p>
        </w:tc>
        <w:tc>
          <w:tcPr>
            <w:tcW w:w="797" w:type="pct"/>
            <w:vMerge w:val="continue"/>
            <w:tcBorders>
              <w:top w:val="nil"/>
              <w:left w:val="single" w:color="000000" w:sz="4" w:space="0"/>
              <w:bottom w:val="single" w:color="000000" w:sz="4" w:space="0"/>
              <w:right w:val="single" w:color="000000" w:sz="4" w:space="0"/>
            </w:tcBorders>
            <w:shd w:val="clear" w:color="auto" w:fill="auto"/>
            <w:noWrap/>
            <w:vAlign w:val="center"/>
          </w:tcPr>
          <w:p w14:paraId="113137A0">
            <w:pPr>
              <w:jc w:val="center"/>
              <w:rPr>
                <w:rFonts w:hint="eastAsia" w:ascii="仿宋_GB2312" w:hAnsi="宋体" w:eastAsia="仿宋_GB2312" w:cs="仿宋_GB2312"/>
                <w:b/>
                <w:bCs/>
                <w:i w:val="0"/>
                <w:iCs w:val="0"/>
                <w:color w:val="auto"/>
                <w:sz w:val="24"/>
                <w:szCs w:val="24"/>
                <w:u w:val="none"/>
              </w:rPr>
            </w:pPr>
          </w:p>
        </w:tc>
        <w:tc>
          <w:tcPr>
            <w:tcW w:w="718" w:type="pct"/>
            <w:vMerge w:val="continue"/>
            <w:tcBorders>
              <w:top w:val="nil"/>
              <w:left w:val="single" w:color="000000" w:sz="4" w:space="0"/>
              <w:bottom w:val="single" w:color="000000" w:sz="4" w:space="0"/>
              <w:right w:val="single" w:color="000000" w:sz="4" w:space="0"/>
            </w:tcBorders>
            <w:shd w:val="clear" w:color="auto" w:fill="auto"/>
            <w:noWrap/>
            <w:vAlign w:val="center"/>
          </w:tcPr>
          <w:p w14:paraId="3AF5F5EB">
            <w:pPr>
              <w:jc w:val="center"/>
              <w:rPr>
                <w:rFonts w:hint="eastAsia" w:ascii="仿宋_GB2312" w:hAnsi="宋体" w:eastAsia="仿宋_GB2312" w:cs="仿宋_GB2312"/>
                <w:b/>
                <w:bCs/>
                <w:i w:val="0"/>
                <w:iCs w:val="0"/>
                <w:color w:val="auto"/>
                <w:sz w:val="24"/>
                <w:szCs w:val="24"/>
                <w:u w:val="none"/>
              </w:rPr>
            </w:pPr>
          </w:p>
        </w:tc>
      </w:tr>
      <w:tr w14:paraId="0C0071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50" w:hRule="atLeast"/>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FD964">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1</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A1EA3">
            <w:pPr>
              <w:keepNext w:val="0"/>
              <w:keepLines w:val="0"/>
              <w:widowControl/>
              <w:suppressLineNumbers w:val="0"/>
              <w:jc w:val="left"/>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建筑垃圾分类投放场所优化建设项目</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8B102">
            <w:pPr>
              <w:keepNext w:val="0"/>
              <w:keepLines w:val="0"/>
              <w:widowControl/>
              <w:suppressLineNumbers w:val="0"/>
              <w:jc w:val="left"/>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城区旧城改造片区、乡镇农村公路沿线项目区</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CAB08">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甘州区住建局（城区）、乡镇政府（城郊）</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40931">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新建20个分类投放点（配分类容器）</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B02AB">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新建</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D0B092">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2025—2028年</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CAF16">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财政资金</w:t>
            </w:r>
            <w:r>
              <w:rPr>
                <w:rFonts w:hint="eastAsia" w:ascii="仿宋_GB2312" w:hAnsi="宋体" w:eastAsia="仿宋_GB2312" w:cs="仿宋_GB2312"/>
                <w:i w:val="0"/>
                <w:iCs w:val="0"/>
                <w:snapToGrid w:val="0"/>
                <w:color w:val="auto"/>
                <w:kern w:val="0"/>
                <w:sz w:val="22"/>
                <w:szCs w:val="22"/>
                <w:u w:val="none"/>
                <w:lang w:val="en-US" w:eastAsia="zh-CN" w:bidi="ar"/>
              </w:rPr>
              <w:br w:type="textWrapping"/>
            </w:r>
            <w:r>
              <w:rPr>
                <w:rFonts w:hint="eastAsia" w:ascii="仿宋_GB2312" w:hAnsi="宋体" w:eastAsia="仿宋_GB2312" w:cs="仿宋_GB2312"/>
                <w:i w:val="0"/>
                <w:iCs w:val="0"/>
                <w:snapToGrid w:val="0"/>
                <w:color w:val="auto"/>
                <w:kern w:val="0"/>
                <w:sz w:val="22"/>
                <w:szCs w:val="22"/>
                <w:u w:val="none"/>
                <w:lang w:val="en-US" w:eastAsia="zh-CN" w:bidi="ar"/>
              </w:rPr>
              <w:t>（区级+乡镇配套）</w:t>
            </w:r>
          </w:p>
        </w:tc>
      </w:tr>
      <w:tr w14:paraId="42CD85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97" w:hRule="atLeast"/>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B8731">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2</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5312E">
            <w:pPr>
              <w:keepNext w:val="0"/>
              <w:keepLines w:val="0"/>
              <w:widowControl/>
              <w:suppressLineNumbers w:val="0"/>
              <w:jc w:val="left"/>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建筑垃圾收运车辆规范化改造项目</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11DCE">
            <w:pPr>
              <w:keepNext w:val="0"/>
              <w:keepLines w:val="0"/>
              <w:widowControl/>
              <w:suppressLineNumbers w:val="0"/>
              <w:jc w:val="left"/>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甘州区内汽车维修厂</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2E7C4">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甘州区交通运输局、收运企业配合</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A93484">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对全区现有60辆合规收运车辆（含工程渣土车、装修垃圾车）进行密闭性修复+定位监控系统加装；淘汰10辆老旧超标车辆</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98EF2">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改造</w:t>
            </w:r>
            <w:r>
              <w:rPr>
                <w:rFonts w:hint="eastAsia" w:ascii="仿宋_GB2312" w:hAnsi="宋体" w:eastAsia="仿宋_GB2312" w:cs="仿宋_GB2312"/>
                <w:i w:val="0"/>
                <w:iCs w:val="0"/>
                <w:snapToGrid w:val="0"/>
                <w:color w:val="auto"/>
                <w:kern w:val="0"/>
                <w:sz w:val="22"/>
                <w:szCs w:val="22"/>
                <w:u w:val="none"/>
                <w:lang w:val="en-US" w:eastAsia="zh-CN" w:bidi="ar"/>
              </w:rPr>
              <w:br w:type="textWrapping"/>
            </w:r>
            <w:r>
              <w:rPr>
                <w:rFonts w:hint="eastAsia" w:ascii="仿宋_GB2312" w:hAnsi="宋体" w:eastAsia="仿宋_GB2312" w:cs="仿宋_GB2312"/>
                <w:i w:val="0"/>
                <w:iCs w:val="0"/>
                <w:snapToGrid w:val="0"/>
                <w:color w:val="auto"/>
                <w:kern w:val="0"/>
                <w:sz w:val="22"/>
                <w:szCs w:val="22"/>
                <w:u w:val="none"/>
                <w:lang w:val="en-US" w:eastAsia="zh-CN" w:bidi="ar"/>
              </w:rPr>
              <w:t>+</w:t>
            </w:r>
            <w:r>
              <w:rPr>
                <w:rFonts w:hint="eastAsia" w:ascii="仿宋_GB2312" w:hAnsi="宋体" w:eastAsia="仿宋_GB2312" w:cs="仿宋_GB2312"/>
                <w:i w:val="0"/>
                <w:iCs w:val="0"/>
                <w:snapToGrid w:val="0"/>
                <w:color w:val="auto"/>
                <w:kern w:val="0"/>
                <w:sz w:val="22"/>
                <w:szCs w:val="22"/>
                <w:u w:val="none"/>
                <w:lang w:val="en-US" w:eastAsia="zh-CN" w:bidi="ar"/>
              </w:rPr>
              <w:br w:type="textWrapping"/>
            </w:r>
            <w:r>
              <w:rPr>
                <w:rFonts w:hint="eastAsia" w:ascii="仿宋_GB2312" w:hAnsi="宋体" w:eastAsia="仿宋_GB2312" w:cs="仿宋_GB2312"/>
                <w:i w:val="0"/>
                <w:iCs w:val="0"/>
                <w:snapToGrid w:val="0"/>
                <w:color w:val="auto"/>
                <w:kern w:val="0"/>
                <w:sz w:val="22"/>
                <w:szCs w:val="22"/>
                <w:u w:val="none"/>
                <w:lang w:val="en-US" w:eastAsia="zh-CN" w:bidi="ar"/>
              </w:rPr>
              <w:t>淘汰</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6FEA4">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2025—2028年</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D3B23">
            <w:pPr>
              <w:keepNext w:val="0"/>
              <w:keepLines w:val="0"/>
              <w:widowControl/>
              <w:suppressLineNumbers w:val="0"/>
              <w:jc w:val="center"/>
              <w:textAlignment w:val="center"/>
              <w:rPr>
                <w:rFonts w:hint="eastAsia" w:ascii="仿宋_GB2312" w:hAnsi="宋体" w:eastAsia="仿宋_GB2312" w:cs="仿宋_GB2312"/>
                <w:i w:val="0"/>
                <w:iCs w:val="0"/>
                <w:snapToGrid w:val="0"/>
                <w:color w:val="auto"/>
                <w:kern w:val="0"/>
                <w:sz w:val="22"/>
                <w:szCs w:val="22"/>
                <w:u w:val="none"/>
                <w:lang w:val="en-US" w:eastAsia="zh-CN" w:bidi="ar"/>
              </w:rPr>
            </w:pPr>
            <w:r>
              <w:rPr>
                <w:rFonts w:hint="eastAsia" w:ascii="仿宋_GB2312" w:hAnsi="宋体" w:eastAsia="仿宋_GB2312" w:cs="仿宋_GB2312"/>
                <w:i w:val="0"/>
                <w:iCs w:val="0"/>
                <w:snapToGrid w:val="0"/>
                <w:color w:val="auto"/>
                <w:kern w:val="0"/>
                <w:sz w:val="22"/>
                <w:szCs w:val="22"/>
                <w:u w:val="none"/>
                <w:lang w:val="en-US" w:eastAsia="zh-CN" w:bidi="ar"/>
              </w:rPr>
              <w:t>企业自筹</w:t>
            </w:r>
          </w:p>
          <w:p w14:paraId="590F4B46">
            <w:pPr>
              <w:keepNext w:val="0"/>
              <w:keepLines w:val="0"/>
              <w:widowControl/>
              <w:suppressLineNumbers w:val="0"/>
              <w:jc w:val="center"/>
              <w:textAlignment w:val="center"/>
              <w:rPr>
                <w:rFonts w:hint="eastAsia" w:ascii="仿宋_GB2312" w:hAnsi="宋体" w:eastAsia="仿宋_GB2312" w:cs="仿宋_GB2312"/>
                <w:i w:val="0"/>
                <w:iCs w:val="0"/>
                <w:snapToGrid w:val="0"/>
                <w:color w:val="auto"/>
                <w:kern w:val="0"/>
                <w:sz w:val="22"/>
                <w:szCs w:val="22"/>
                <w:u w:val="none"/>
                <w:lang w:val="en-US" w:eastAsia="zh-CN" w:bidi="ar"/>
              </w:rPr>
            </w:pPr>
            <w:r>
              <w:rPr>
                <w:rFonts w:hint="eastAsia" w:ascii="仿宋_GB2312" w:hAnsi="宋体" w:eastAsia="仿宋_GB2312" w:cs="仿宋_GB2312"/>
                <w:i w:val="0"/>
                <w:iCs w:val="0"/>
                <w:snapToGrid w:val="0"/>
                <w:color w:val="auto"/>
                <w:kern w:val="0"/>
                <w:sz w:val="22"/>
                <w:szCs w:val="22"/>
                <w:u w:val="none"/>
                <w:lang w:val="en-US" w:eastAsia="zh-CN" w:bidi="ar"/>
              </w:rPr>
              <w:t>（70%）</w:t>
            </w:r>
            <w:r>
              <w:rPr>
                <w:rFonts w:hint="eastAsia" w:ascii="仿宋_GB2312" w:hAnsi="宋体" w:eastAsia="仿宋_GB2312" w:cs="仿宋_GB2312"/>
                <w:i w:val="0"/>
                <w:iCs w:val="0"/>
                <w:snapToGrid w:val="0"/>
                <w:color w:val="auto"/>
                <w:kern w:val="0"/>
                <w:sz w:val="22"/>
                <w:szCs w:val="22"/>
                <w:u w:val="none"/>
                <w:lang w:val="en-US" w:eastAsia="zh-CN" w:bidi="ar"/>
              </w:rPr>
              <w:br w:type="textWrapping"/>
            </w:r>
            <w:r>
              <w:rPr>
                <w:rFonts w:hint="eastAsia" w:ascii="仿宋_GB2312" w:hAnsi="宋体" w:eastAsia="仿宋_GB2312" w:cs="仿宋_GB2312"/>
                <w:i w:val="0"/>
                <w:iCs w:val="0"/>
                <w:snapToGrid w:val="0"/>
                <w:color w:val="auto"/>
                <w:kern w:val="0"/>
                <w:sz w:val="22"/>
                <w:szCs w:val="22"/>
                <w:u w:val="none"/>
                <w:lang w:val="en-US" w:eastAsia="zh-CN" w:bidi="ar"/>
              </w:rPr>
              <w:t>财政补贴</w:t>
            </w:r>
          </w:p>
          <w:p w14:paraId="733701C1">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(30%)</w:t>
            </w:r>
          </w:p>
        </w:tc>
      </w:tr>
      <w:tr w14:paraId="124A1E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97" w:hRule="atLeast"/>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5E62C">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3</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EFC954">
            <w:pPr>
              <w:keepNext w:val="0"/>
              <w:keepLines w:val="0"/>
              <w:widowControl/>
              <w:suppressLineNumbers w:val="0"/>
              <w:jc w:val="left"/>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小型建筑垃圾资源化利用站建设项目</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D4E78">
            <w:pPr>
              <w:keepNext w:val="0"/>
              <w:keepLines w:val="0"/>
              <w:widowControl/>
              <w:suppressLineNumbers w:val="0"/>
              <w:jc w:val="left"/>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甘州区城郊（靠近国道227线）</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566F1">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甘州区兴达城建投资开发有限责任公司</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6E9CA">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建设1座年处理能力2万吨的小型资源化利用站，配备简易破碎、筛分设备</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E5E50">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新建</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B190C5">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2026—2028年</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F7AC2">
            <w:pPr>
              <w:keepNext w:val="0"/>
              <w:keepLines w:val="0"/>
              <w:widowControl/>
              <w:suppressLineNumbers w:val="0"/>
              <w:jc w:val="center"/>
              <w:textAlignment w:val="center"/>
              <w:rPr>
                <w:rFonts w:hint="eastAsia" w:ascii="仿宋_GB2312" w:hAnsi="宋体" w:eastAsia="仿宋_GB2312" w:cs="仿宋_GB2312"/>
                <w:i w:val="0"/>
                <w:iCs w:val="0"/>
                <w:snapToGrid w:val="0"/>
                <w:color w:val="auto"/>
                <w:kern w:val="0"/>
                <w:sz w:val="22"/>
                <w:szCs w:val="22"/>
                <w:u w:val="none"/>
                <w:lang w:val="en-US" w:eastAsia="zh-CN" w:bidi="ar"/>
              </w:rPr>
            </w:pPr>
            <w:r>
              <w:rPr>
                <w:rFonts w:hint="eastAsia" w:ascii="仿宋_GB2312" w:hAnsi="宋体" w:eastAsia="仿宋_GB2312" w:cs="仿宋_GB2312"/>
                <w:i w:val="0"/>
                <w:iCs w:val="0"/>
                <w:snapToGrid w:val="0"/>
                <w:color w:val="auto"/>
                <w:kern w:val="0"/>
                <w:sz w:val="22"/>
                <w:szCs w:val="22"/>
                <w:u w:val="none"/>
                <w:lang w:val="en-US" w:eastAsia="zh-CN" w:bidi="ar"/>
              </w:rPr>
              <w:t>国企投资</w:t>
            </w:r>
          </w:p>
          <w:p w14:paraId="7EA745E6">
            <w:pPr>
              <w:keepNext w:val="0"/>
              <w:keepLines w:val="0"/>
              <w:widowControl/>
              <w:suppressLineNumbers w:val="0"/>
              <w:jc w:val="center"/>
              <w:textAlignment w:val="center"/>
              <w:rPr>
                <w:rFonts w:hint="eastAsia" w:ascii="仿宋_GB2312" w:hAnsi="宋体" w:eastAsia="仿宋_GB2312" w:cs="仿宋_GB2312"/>
                <w:i w:val="0"/>
                <w:iCs w:val="0"/>
                <w:snapToGrid w:val="0"/>
                <w:color w:val="auto"/>
                <w:kern w:val="0"/>
                <w:sz w:val="22"/>
                <w:szCs w:val="22"/>
                <w:u w:val="none"/>
                <w:lang w:val="en-US" w:eastAsia="zh-CN" w:bidi="ar"/>
              </w:rPr>
            </w:pPr>
            <w:r>
              <w:rPr>
                <w:rFonts w:hint="eastAsia" w:ascii="仿宋_GB2312" w:hAnsi="宋体" w:eastAsia="仿宋_GB2312" w:cs="仿宋_GB2312"/>
                <w:i w:val="0"/>
                <w:iCs w:val="0"/>
                <w:snapToGrid w:val="0"/>
                <w:color w:val="auto"/>
                <w:kern w:val="0"/>
                <w:sz w:val="22"/>
                <w:szCs w:val="22"/>
                <w:u w:val="none"/>
                <w:lang w:val="en-US" w:eastAsia="zh-CN" w:bidi="ar"/>
              </w:rPr>
              <w:t>（60%）</w:t>
            </w:r>
            <w:r>
              <w:rPr>
                <w:rFonts w:hint="eastAsia" w:ascii="仿宋_GB2312" w:hAnsi="宋体" w:eastAsia="仿宋_GB2312" w:cs="仿宋_GB2312"/>
                <w:i w:val="0"/>
                <w:iCs w:val="0"/>
                <w:snapToGrid w:val="0"/>
                <w:color w:val="auto"/>
                <w:kern w:val="0"/>
                <w:sz w:val="22"/>
                <w:szCs w:val="22"/>
                <w:u w:val="none"/>
                <w:lang w:val="en-US" w:eastAsia="zh-CN" w:bidi="ar"/>
              </w:rPr>
              <w:br w:type="textWrapping"/>
            </w:r>
            <w:r>
              <w:rPr>
                <w:rFonts w:hint="eastAsia" w:ascii="仿宋_GB2312" w:hAnsi="宋体" w:eastAsia="仿宋_GB2312" w:cs="仿宋_GB2312"/>
                <w:i w:val="0"/>
                <w:iCs w:val="0"/>
                <w:snapToGrid w:val="0"/>
                <w:color w:val="auto"/>
                <w:kern w:val="0"/>
                <w:sz w:val="22"/>
                <w:szCs w:val="22"/>
                <w:u w:val="none"/>
                <w:lang w:val="en-US" w:eastAsia="zh-CN" w:bidi="ar"/>
              </w:rPr>
              <w:t>专项债券</w:t>
            </w:r>
          </w:p>
          <w:p w14:paraId="7D723DCB">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(40%)</w:t>
            </w:r>
          </w:p>
        </w:tc>
      </w:tr>
      <w:tr w14:paraId="420F54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40" w:hRule="atLeast"/>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A0160">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4</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DBCE7">
            <w:pPr>
              <w:keepNext w:val="0"/>
              <w:keepLines w:val="0"/>
              <w:widowControl/>
              <w:suppressLineNumbers w:val="0"/>
              <w:jc w:val="left"/>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现有建筑垃圾消纳场提质项目</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B5713">
            <w:pPr>
              <w:keepNext w:val="0"/>
              <w:keepLines w:val="0"/>
              <w:widowControl/>
              <w:suppressLineNumbers w:val="0"/>
              <w:jc w:val="left"/>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现有东部、南部消纳场</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FAEDA">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甘州区城市管理局</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ADA0B">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对现有消纳场进行防渗层修补、增设喷淋降尘设备、完善分区填埋标识</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932CD">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提质</w:t>
            </w:r>
            <w:r>
              <w:rPr>
                <w:rFonts w:hint="eastAsia" w:ascii="仿宋_GB2312" w:hAnsi="宋体" w:eastAsia="仿宋_GB2312" w:cs="仿宋_GB2312"/>
                <w:i w:val="0"/>
                <w:iCs w:val="0"/>
                <w:snapToGrid w:val="0"/>
                <w:color w:val="auto"/>
                <w:kern w:val="0"/>
                <w:sz w:val="22"/>
                <w:szCs w:val="22"/>
                <w:u w:val="none"/>
                <w:lang w:val="en-US" w:eastAsia="zh-CN" w:bidi="ar"/>
              </w:rPr>
              <w:br w:type="textWrapping"/>
            </w:r>
            <w:r>
              <w:rPr>
                <w:rFonts w:hint="eastAsia" w:ascii="仿宋_GB2312" w:hAnsi="宋体" w:eastAsia="仿宋_GB2312" w:cs="仿宋_GB2312"/>
                <w:i w:val="0"/>
                <w:iCs w:val="0"/>
                <w:snapToGrid w:val="0"/>
                <w:color w:val="auto"/>
                <w:kern w:val="0"/>
                <w:sz w:val="22"/>
                <w:szCs w:val="22"/>
                <w:u w:val="none"/>
                <w:lang w:val="en-US" w:eastAsia="zh-CN" w:bidi="ar"/>
              </w:rPr>
              <w:t>改造</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FF4CC">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2025—2028年</w:t>
            </w:r>
          </w:p>
        </w:tc>
        <w:tc>
          <w:tcPr>
            <w:tcW w:w="71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EE7B1">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财政资金</w:t>
            </w:r>
          </w:p>
        </w:tc>
      </w:tr>
      <w:tr w14:paraId="69FC11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06" w:hRule="atLeast"/>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7C76B">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5</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FC74A">
            <w:pPr>
              <w:keepNext w:val="0"/>
              <w:keepLines w:val="0"/>
              <w:widowControl/>
              <w:suppressLineNumbers w:val="0"/>
              <w:jc w:val="left"/>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建筑垃圾运输车辆新能源试点项目</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28FFC">
            <w:pPr>
              <w:keepNext w:val="0"/>
              <w:keepLines w:val="0"/>
              <w:widowControl/>
              <w:suppressLineNumbers w:val="0"/>
              <w:jc w:val="left"/>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甘州区内收运企业停车场</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66CE4">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甘州区工信局、收运企业</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FAA0F">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引导2家本地主力收运企业各更新5辆新能源渣土车（共10辆），用于短途建筑垃圾转运</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430C9">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更新</w:t>
            </w:r>
            <w:r>
              <w:rPr>
                <w:rFonts w:hint="eastAsia" w:ascii="仿宋_GB2312" w:hAnsi="宋体" w:eastAsia="仿宋_GB2312" w:cs="仿宋_GB2312"/>
                <w:i w:val="0"/>
                <w:iCs w:val="0"/>
                <w:snapToGrid w:val="0"/>
                <w:color w:val="auto"/>
                <w:kern w:val="0"/>
                <w:sz w:val="22"/>
                <w:szCs w:val="22"/>
                <w:u w:val="none"/>
                <w:lang w:val="en-US" w:eastAsia="zh-CN" w:bidi="ar"/>
              </w:rPr>
              <w:br w:type="textWrapping"/>
            </w:r>
            <w:r>
              <w:rPr>
                <w:rFonts w:hint="eastAsia" w:ascii="仿宋_GB2312" w:hAnsi="宋体" w:eastAsia="仿宋_GB2312" w:cs="仿宋_GB2312"/>
                <w:i w:val="0"/>
                <w:iCs w:val="0"/>
                <w:snapToGrid w:val="0"/>
                <w:color w:val="auto"/>
                <w:kern w:val="0"/>
                <w:sz w:val="22"/>
                <w:szCs w:val="22"/>
                <w:u w:val="none"/>
                <w:lang w:val="en-US" w:eastAsia="zh-CN" w:bidi="ar"/>
              </w:rPr>
              <w:t>试点</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1F2624">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2028—2030年</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44F4E">
            <w:pPr>
              <w:keepNext w:val="0"/>
              <w:keepLines w:val="0"/>
              <w:widowControl/>
              <w:suppressLineNumbers w:val="0"/>
              <w:jc w:val="center"/>
              <w:textAlignment w:val="center"/>
              <w:rPr>
                <w:rFonts w:hint="eastAsia" w:ascii="仿宋_GB2312" w:hAnsi="宋体" w:eastAsia="仿宋_GB2312" w:cs="仿宋_GB2312"/>
                <w:i w:val="0"/>
                <w:iCs w:val="0"/>
                <w:snapToGrid w:val="0"/>
                <w:color w:val="auto"/>
                <w:kern w:val="0"/>
                <w:sz w:val="22"/>
                <w:szCs w:val="22"/>
                <w:u w:val="none"/>
                <w:lang w:val="en-US" w:eastAsia="zh-CN" w:bidi="ar"/>
              </w:rPr>
            </w:pPr>
            <w:r>
              <w:rPr>
                <w:rFonts w:hint="eastAsia" w:ascii="仿宋_GB2312" w:hAnsi="宋体" w:eastAsia="仿宋_GB2312" w:cs="仿宋_GB2312"/>
                <w:i w:val="0"/>
                <w:iCs w:val="0"/>
                <w:snapToGrid w:val="0"/>
                <w:color w:val="auto"/>
                <w:kern w:val="0"/>
                <w:sz w:val="22"/>
                <w:szCs w:val="22"/>
                <w:u w:val="none"/>
                <w:lang w:val="en-US" w:eastAsia="zh-CN" w:bidi="ar"/>
              </w:rPr>
              <w:t>企业自筹</w:t>
            </w:r>
          </w:p>
          <w:p w14:paraId="0CDE26E4">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（80%）</w:t>
            </w:r>
            <w:r>
              <w:rPr>
                <w:rFonts w:hint="eastAsia" w:ascii="仿宋_GB2312" w:hAnsi="宋体" w:eastAsia="仿宋_GB2312" w:cs="仿宋_GB2312"/>
                <w:i w:val="0"/>
                <w:iCs w:val="0"/>
                <w:snapToGrid w:val="0"/>
                <w:color w:val="auto"/>
                <w:kern w:val="0"/>
                <w:sz w:val="22"/>
                <w:szCs w:val="22"/>
                <w:u w:val="none"/>
                <w:lang w:val="en-US" w:eastAsia="zh-CN" w:bidi="ar"/>
              </w:rPr>
              <w:br w:type="textWrapping"/>
            </w:r>
            <w:r>
              <w:rPr>
                <w:rFonts w:hint="eastAsia" w:ascii="仿宋_GB2312" w:hAnsi="宋体" w:eastAsia="仿宋_GB2312" w:cs="仿宋_GB2312"/>
                <w:i w:val="0"/>
                <w:iCs w:val="0"/>
                <w:snapToGrid w:val="0"/>
                <w:color w:val="auto"/>
                <w:kern w:val="0"/>
                <w:sz w:val="22"/>
                <w:szCs w:val="22"/>
                <w:u w:val="none"/>
                <w:lang w:val="en-US" w:eastAsia="zh-CN" w:bidi="ar"/>
              </w:rPr>
              <w:t xml:space="preserve"> 财政补贴  （20%）</w:t>
            </w:r>
          </w:p>
        </w:tc>
      </w:tr>
      <w:tr w14:paraId="3A6C5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985" w:hRule="atLeast"/>
        </w:trPr>
        <w:tc>
          <w:tcPr>
            <w:tcW w:w="2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521B8A">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6</w:t>
            </w:r>
          </w:p>
        </w:tc>
        <w:tc>
          <w:tcPr>
            <w:tcW w:w="5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26E8B">
            <w:pPr>
              <w:keepNext w:val="0"/>
              <w:keepLines w:val="0"/>
              <w:widowControl/>
              <w:suppressLineNumbers w:val="0"/>
              <w:jc w:val="left"/>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建筑垃圾简易监管系统建设项目</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186D0">
            <w:pPr>
              <w:keepNext w:val="0"/>
              <w:keepLines w:val="0"/>
              <w:widowControl/>
              <w:suppressLineNumbers w:val="0"/>
              <w:jc w:val="left"/>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甘州区城市管理局指挥中心、重点工地/消纳场</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70B2D">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甘州区城市管理局</w:t>
            </w:r>
          </w:p>
        </w:tc>
        <w:tc>
          <w:tcPr>
            <w:tcW w:w="105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A0155">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开发区级监管平台，为30辆重点收运车辆安装定位终端，接入10个重点工地、2处消纳场出入口监控</w:t>
            </w:r>
          </w:p>
        </w:tc>
        <w:tc>
          <w:tcPr>
            <w:tcW w:w="3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EFCB4">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新建</w:t>
            </w:r>
          </w:p>
        </w:tc>
        <w:tc>
          <w:tcPr>
            <w:tcW w:w="7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F1ECDB">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2028—2030年</w:t>
            </w:r>
          </w:p>
        </w:tc>
        <w:tc>
          <w:tcPr>
            <w:tcW w:w="71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95652">
            <w:pPr>
              <w:keepNext w:val="0"/>
              <w:keepLines w:val="0"/>
              <w:widowControl/>
              <w:suppressLineNumbers w:val="0"/>
              <w:jc w:val="center"/>
              <w:textAlignment w:val="center"/>
              <w:rPr>
                <w:rFonts w:hint="eastAsia" w:ascii="仿宋_GB2312" w:hAnsi="宋体" w:eastAsia="仿宋_GB2312" w:cs="仿宋_GB2312"/>
                <w:i w:val="0"/>
                <w:iCs w:val="0"/>
                <w:color w:val="auto"/>
                <w:sz w:val="22"/>
                <w:szCs w:val="22"/>
                <w:u w:val="none"/>
              </w:rPr>
            </w:pPr>
            <w:r>
              <w:rPr>
                <w:rFonts w:hint="eastAsia" w:ascii="仿宋_GB2312" w:hAnsi="宋体" w:eastAsia="仿宋_GB2312" w:cs="仿宋_GB2312"/>
                <w:i w:val="0"/>
                <w:iCs w:val="0"/>
                <w:snapToGrid w:val="0"/>
                <w:color w:val="auto"/>
                <w:kern w:val="0"/>
                <w:sz w:val="22"/>
                <w:szCs w:val="22"/>
                <w:u w:val="none"/>
                <w:lang w:val="en-US" w:eastAsia="zh-CN" w:bidi="ar"/>
              </w:rPr>
              <w:t>财政资金</w:t>
            </w:r>
          </w:p>
        </w:tc>
      </w:tr>
    </w:tbl>
    <w:p w14:paraId="579ED230">
      <w:pPr>
        <w:tabs>
          <w:tab w:val="left" w:pos="921"/>
        </w:tabs>
        <w:bidi w:val="0"/>
        <w:jc w:val="both"/>
        <w:rPr>
          <w:rFonts w:hint="eastAsia" w:ascii="仿宋_GB2312" w:hAnsi="仿宋_GB2312" w:eastAsia="仿宋_GB2312" w:cs="仿宋_GB2312"/>
          <w:color w:val="auto"/>
          <w:spacing w:val="6"/>
          <w:sz w:val="32"/>
          <w:szCs w:val="32"/>
          <w:lang w:val="en-US" w:eastAsia="zh-CN"/>
        </w:rPr>
      </w:pPr>
    </w:p>
    <w:p w14:paraId="0688CFFA">
      <w:pPr>
        <w:keepNext w:val="0"/>
        <w:keepLines w:val="0"/>
        <w:pageBreakBefore w:val="0"/>
        <w:widowControl w:val="0"/>
        <w:kinsoku/>
        <w:wordWrap/>
        <w:overflowPunct/>
        <w:topLinePunct w:val="0"/>
        <w:autoSpaceDE w:val="0"/>
        <w:autoSpaceDN w:val="0"/>
        <w:bidi w:val="0"/>
        <w:adjustRightInd w:val="0"/>
        <w:snapToGrid w:val="0"/>
        <w:spacing w:line="560" w:lineRule="exact"/>
        <w:ind w:right="0"/>
        <w:jc w:val="both"/>
        <w:textAlignment w:val="baseline"/>
        <w:rPr>
          <w:rFonts w:hint="default" w:ascii="仿宋_GB2312" w:hAnsi="仿宋_GB2312" w:eastAsia="仿宋_GB2312" w:cs="仿宋_GB2312"/>
          <w:color w:val="auto"/>
          <w:spacing w:val="6"/>
          <w:sz w:val="32"/>
          <w:szCs w:val="32"/>
          <w:lang w:val="en-US" w:eastAsia="zh-CN"/>
        </w:rPr>
        <w:sectPr>
          <w:headerReference r:id="rId16" w:type="default"/>
          <w:pgSz w:w="23811" w:h="16838" w:orient="landscape"/>
          <w:pgMar w:top="1800" w:right="1440" w:bottom="1800" w:left="1440" w:header="851" w:footer="992" w:gutter="0"/>
          <w:pgNumType w:fmt="numberInDash"/>
          <w:cols w:space="2106" w:num="2"/>
          <w:docGrid w:type="lines" w:linePitch="312" w:charSpace="0"/>
        </w:sectPr>
      </w:pPr>
    </w:p>
    <w:p w14:paraId="08C96D6F">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313" w:afterLines="100" w:line="560" w:lineRule="exact"/>
        <w:ind w:right="0" w:rightChars="0"/>
        <w:jc w:val="center"/>
        <w:textAlignment w:val="baseline"/>
        <w:outlineLvl w:val="0"/>
        <w:rPr>
          <w:rFonts w:hint="default" w:ascii="黑体" w:hAnsi="黑体" w:eastAsia="黑体" w:cs="黑体"/>
          <w:color w:val="auto"/>
          <w:spacing w:val="7"/>
          <w:sz w:val="44"/>
          <w:szCs w:val="44"/>
          <w:lang w:val="en-US" w:eastAsia="zh-CN"/>
        </w:rPr>
      </w:pPr>
      <w:bookmarkStart w:id="581" w:name="_Toc19237"/>
      <w:bookmarkStart w:id="582" w:name="_Toc21077"/>
      <w:bookmarkStart w:id="583" w:name="_Toc15820"/>
      <w:bookmarkStart w:id="584" w:name="_Toc7572"/>
      <w:r>
        <w:rPr>
          <w:rFonts w:hint="eastAsia" w:ascii="黑体" w:hAnsi="黑体" w:eastAsia="黑体" w:cs="黑体"/>
          <w:color w:val="auto"/>
          <w:spacing w:val="7"/>
          <w:sz w:val="44"/>
          <w:szCs w:val="44"/>
          <w:lang w:val="en-US" w:eastAsia="zh-CN"/>
        </w:rPr>
        <w:t xml:space="preserve">第十一章 </w:t>
      </w:r>
      <w:r>
        <w:rPr>
          <w:rFonts w:hint="default" w:ascii="黑体" w:hAnsi="黑体" w:eastAsia="黑体" w:cs="黑体"/>
          <w:color w:val="auto"/>
          <w:spacing w:val="7"/>
          <w:sz w:val="44"/>
          <w:szCs w:val="44"/>
          <w:lang w:val="en-US" w:eastAsia="zh-CN"/>
        </w:rPr>
        <w:t>规划实施保障</w:t>
      </w:r>
      <w:bookmarkEnd w:id="581"/>
      <w:bookmarkEnd w:id="582"/>
      <w:bookmarkEnd w:id="583"/>
      <w:bookmarkEnd w:id="584"/>
    </w:p>
    <w:p w14:paraId="778FDA1F">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default" w:ascii="黑体" w:hAnsi="黑体" w:eastAsia="黑体" w:cs="黑体"/>
          <w:b w:val="0"/>
          <w:bCs w:val="0"/>
          <w:color w:val="auto"/>
          <w:spacing w:val="2"/>
          <w:sz w:val="31"/>
          <w:szCs w:val="31"/>
          <w:lang w:val="en-US" w:eastAsia="zh-CN"/>
        </w:rPr>
      </w:pPr>
      <w:bookmarkStart w:id="585" w:name="_Toc27004"/>
      <w:bookmarkStart w:id="586" w:name="_Toc5557"/>
      <w:bookmarkStart w:id="587" w:name="_Toc2524"/>
      <w:bookmarkStart w:id="588" w:name="_Toc30411"/>
      <w:r>
        <w:rPr>
          <w:rFonts w:hint="eastAsia" w:ascii="黑体" w:hAnsi="黑体" w:eastAsia="黑体" w:cs="黑体"/>
          <w:b w:val="0"/>
          <w:bCs w:val="0"/>
          <w:color w:val="auto"/>
          <w:spacing w:val="2"/>
          <w:sz w:val="31"/>
          <w:szCs w:val="31"/>
          <w:lang w:val="en-US" w:eastAsia="zh-CN"/>
        </w:rPr>
        <w:t>一、</w:t>
      </w:r>
      <w:r>
        <w:rPr>
          <w:rFonts w:hint="default" w:ascii="黑体" w:hAnsi="黑体" w:eastAsia="黑体" w:cs="黑体"/>
          <w:b w:val="0"/>
          <w:bCs w:val="0"/>
          <w:color w:val="auto"/>
          <w:spacing w:val="2"/>
          <w:sz w:val="31"/>
          <w:szCs w:val="31"/>
          <w:lang w:val="en-US" w:eastAsia="zh-CN"/>
        </w:rPr>
        <w:t>政策保障</w:t>
      </w:r>
      <w:bookmarkEnd w:id="585"/>
      <w:bookmarkEnd w:id="586"/>
      <w:bookmarkEnd w:id="587"/>
      <w:bookmarkEnd w:id="588"/>
    </w:p>
    <w:p w14:paraId="1BD5D0AC">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default" w:ascii="楷体_GB2312" w:hAnsi="楷体_GB2312" w:eastAsia="楷体_GB2312" w:cs="楷体_GB2312"/>
          <w:b/>
          <w:bCs/>
          <w:color w:val="auto"/>
          <w:spacing w:val="8"/>
          <w:sz w:val="32"/>
          <w:szCs w:val="32"/>
          <w:lang w:val="en-US" w:eastAsia="zh-CN"/>
        </w:rPr>
      </w:pPr>
      <w:bookmarkStart w:id="589" w:name="_Toc23308"/>
      <w:bookmarkStart w:id="590" w:name="_Toc26424"/>
      <w:bookmarkStart w:id="591" w:name="_Toc3209"/>
      <w:bookmarkStart w:id="592" w:name="_Toc12010"/>
      <w:r>
        <w:rPr>
          <w:rFonts w:hint="eastAsia" w:ascii="楷体_GB2312" w:hAnsi="楷体_GB2312" w:eastAsia="楷体_GB2312" w:cs="楷体_GB2312"/>
          <w:b/>
          <w:bCs/>
          <w:color w:val="auto"/>
          <w:spacing w:val="8"/>
          <w:sz w:val="32"/>
          <w:szCs w:val="32"/>
          <w:lang w:val="en-US" w:eastAsia="zh-CN"/>
        </w:rPr>
        <w:t>（一）</w:t>
      </w:r>
      <w:r>
        <w:rPr>
          <w:rFonts w:hint="default" w:ascii="楷体_GB2312" w:hAnsi="楷体_GB2312" w:eastAsia="楷体_GB2312" w:cs="楷体_GB2312"/>
          <w:b/>
          <w:bCs/>
          <w:color w:val="auto"/>
          <w:spacing w:val="8"/>
          <w:sz w:val="32"/>
          <w:szCs w:val="32"/>
          <w:lang w:val="en-US" w:eastAsia="zh-CN"/>
        </w:rPr>
        <w:t>完善政策法规体系</w:t>
      </w:r>
      <w:bookmarkEnd w:id="589"/>
      <w:bookmarkEnd w:id="590"/>
      <w:bookmarkEnd w:id="591"/>
      <w:bookmarkEnd w:id="592"/>
    </w:p>
    <w:p w14:paraId="7A36958B">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default" w:ascii="仿宋_GB2312" w:hAnsi="仿宋_GB2312" w:eastAsia="仿宋_GB2312" w:cs="仿宋_GB2312"/>
          <w:color w:val="auto"/>
          <w:spacing w:val="6"/>
          <w:sz w:val="32"/>
          <w:szCs w:val="32"/>
          <w:lang w:val="en-US" w:eastAsia="zh-CN"/>
        </w:rPr>
        <w:t>将建筑垃圾污染环境防治工作规划的内容转化为具有指导性和操作性的政府文件，包括行政法规、规章、政策文件等形式，完善建筑垃圾消纳管理、处置及综合利用等方面的</w:t>
      </w:r>
      <w:r>
        <w:rPr>
          <w:rFonts w:hint="eastAsia" w:ascii="仿宋_GB2312" w:hAnsi="仿宋_GB2312" w:eastAsia="仿宋_GB2312" w:cs="仿宋_GB2312"/>
          <w:color w:val="auto"/>
          <w:spacing w:val="6"/>
          <w:sz w:val="32"/>
          <w:szCs w:val="32"/>
          <w:lang w:val="en-US" w:eastAsia="zh-CN"/>
        </w:rPr>
        <w:t>法律法规</w:t>
      </w:r>
      <w:r>
        <w:rPr>
          <w:rFonts w:hint="default" w:ascii="仿宋_GB2312" w:hAnsi="仿宋_GB2312" w:eastAsia="仿宋_GB2312" w:cs="仿宋_GB2312"/>
          <w:color w:val="auto"/>
          <w:spacing w:val="6"/>
          <w:sz w:val="32"/>
          <w:szCs w:val="32"/>
          <w:lang w:val="en-US" w:eastAsia="zh-CN"/>
        </w:rPr>
        <w:t>及实施细则，用法律规范相关单位和政府的管理行为，明确规划目标、任务和责任，界定各相关部门的职责和权限，指导和推动建筑垃圾资源化利用工作的实施。积极探索建立建筑资源化利用产品应用技术标准、扶持办法、技术导则、资格认定办法等政策，通过各种措施鼓励社会力量参与建筑垃圾的再生利用。</w:t>
      </w:r>
    </w:p>
    <w:p w14:paraId="2EE298C6">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default" w:ascii="楷体_GB2312" w:hAnsi="楷体_GB2312" w:eastAsia="楷体_GB2312" w:cs="楷体_GB2312"/>
          <w:b/>
          <w:bCs/>
          <w:color w:val="auto"/>
          <w:spacing w:val="8"/>
          <w:sz w:val="32"/>
          <w:szCs w:val="32"/>
          <w:lang w:val="en-US" w:eastAsia="zh-CN"/>
        </w:rPr>
      </w:pPr>
      <w:bookmarkStart w:id="593" w:name="_Toc16688"/>
      <w:bookmarkStart w:id="594" w:name="_Toc8400"/>
      <w:bookmarkStart w:id="595" w:name="_Toc5957"/>
      <w:bookmarkStart w:id="596" w:name="_Toc14805"/>
      <w:r>
        <w:rPr>
          <w:rFonts w:hint="eastAsia" w:ascii="楷体_GB2312" w:hAnsi="楷体_GB2312" w:eastAsia="楷体_GB2312" w:cs="楷体_GB2312"/>
          <w:b/>
          <w:bCs/>
          <w:color w:val="auto"/>
          <w:spacing w:val="8"/>
          <w:sz w:val="32"/>
          <w:szCs w:val="32"/>
          <w:lang w:val="en-US" w:eastAsia="zh-CN"/>
        </w:rPr>
        <w:t>（二）</w:t>
      </w:r>
      <w:r>
        <w:rPr>
          <w:rFonts w:hint="default" w:ascii="楷体_GB2312" w:hAnsi="楷体_GB2312" w:eastAsia="楷体_GB2312" w:cs="楷体_GB2312"/>
          <w:b/>
          <w:bCs/>
          <w:color w:val="auto"/>
          <w:spacing w:val="8"/>
          <w:sz w:val="32"/>
          <w:szCs w:val="32"/>
          <w:lang w:val="en-US" w:eastAsia="zh-CN"/>
        </w:rPr>
        <w:t>强化日常监督考核</w:t>
      </w:r>
      <w:bookmarkEnd w:id="593"/>
      <w:bookmarkEnd w:id="594"/>
      <w:bookmarkEnd w:id="595"/>
      <w:bookmarkEnd w:id="596"/>
    </w:p>
    <w:p w14:paraId="68CC1B28">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default" w:ascii="仿宋_GB2312" w:hAnsi="仿宋_GB2312" w:eastAsia="仿宋_GB2312" w:cs="仿宋_GB2312"/>
          <w:color w:val="auto"/>
          <w:spacing w:val="6"/>
          <w:sz w:val="32"/>
          <w:szCs w:val="32"/>
          <w:lang w:val="en-US" w:eastAsia="zh-CN"/>
        </w:rPr>
        <w:t>建立建筑垃圾污染防治工作定期督查通报机制，定期组织专项检查，对建筑垃圾管理的重点区域、重点环节进行深入检查，确保各项措施得到有效落实。不定期对全</w:t>
      </w:r>
      <w:r>
        <w:rPr>
          <w:rFonts w:hint="eastAsia" w:ascii="仿宋_GB2312" w:hAnsi="仿宋_GB2312" w:eastAsia="仿宋_GB2312" w:cs="仿宋_GB2312"/>
          <w:color w:val="auto"/>
          <w:spacing w:val="6"/>
          <w:sz w:val="32"/>
          <w:szCs w:val="32"/>
          <w:lang w:val="en-US" w:eastAsia="zh-CN"/>
        </w:rPr>
        <w:t>区</w:t>
      </w:r>
      <w:r>
        <w:rPr>
          <w:rFonts w:hint="default" w:ascii="仿宋_GB2312" w:hAnsi="仿宋_GB2312" w:eastAsia="仿宋_GB2312" w:cs="仿宋_GB2312"/>
          <w:color w:val="auto"/>
          <w:spacing w:val="6"/>
          <w:sz w:val="32"/>
          <w:szCs w:val="32"/>
          <w:lang w:val="en-US" w:eastAsia="zh-CN"/>
        </w:rPr>
        <w:t>建筑垃圾管理工作进行督查，采取</w:t>
      </w:r>
      <w:r>
        <w:rPr>
          <w:rFonts w:hint="eastAsia" w:ascii="仿宋_GB2312" w:hAnsi="仿宋_GB2312" w:eastAsia="仿宋_GB2312" w:cs="仿宋_GB2312"/>
          <w:color w:val="auto"/>
          <w:spacing w:val="6"/>
          <w:sz w:val="32"/>
          <w:szCs w:val="32"/>
          <w:lang w:val="en-US" w:eastAsia="zh-CN"/>
        </w:rPr>
        <w:t>明察暗访</w:t>
      </w:r>
      <w:r>
        <w:rPr>
          <w:rFonts w:hint="default" w:ascii="仿宋_GB2312" w:hAnsi="仿宋_GB2312" w:eastAsia="仿宋_GB2312" w:cs="仿宋_GB2312"/>
          <w:color w:val="auto"/>
          <w:spacing w:val="6"/>
          <w:sz w:val="32"/>
          <w:szCs w:val="32"/>
          <w:lang w:val="en-US" w:eastAsia="zh-CN"/>
        </w:rPr>
        <w:t>的模式，加强对建筑垃圾排放、运输、综合利用等处置活动的监督。利用大数据、物联网等科技手段，对建筑垃圾的产生、运输、处置等环节进行实时监控和数据分析，提高监管效率和准确性。鼓励公众参与建筑垃圾管理的监督，建立举报奖励机制，对举报违规行为的人员给予奖励，形成全社会共同参与的良好氛围。</w:t>
      </w:r>
    </w:p>
    <w:p w14:paraId="04BEC503">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default" w:ascii="楷体_GB2312" w:hAnsi="楷体_GB2312" w:eastAsia="楷体_GB2312" w:cs="楷体_GB2312"/>
          <w:b/>
          <w:bCs/>
          <w:color w:val="auto"/>
          <w:spacing w:val="8"/>
          <w:sz w:val="32"/>
          <w:szCs w:val="32"/>
          <w:lang w:val="en-US" w:eastAsia="zh-CN"/>
        </w:rPr>
      </w:pPr>
      <w:bookmarkStart w:id="597" w:name="_Toc22547"/>
      <w:bookmarkStart w:id="598" w:name="_Toc16837"/>
      <w:bookmarkStart w:id="599" w:name="_Toc31758"/>
      <w:bookmarkStart w:id="600" w:name="_Toc14715"/>
      <w:r>
        <w:rPr>
          <w:rFonts w:hint="eastAsia" w:ascii="楷体_GB2312" w:hAnsi="楷体_GB2312" w:eastAsia="楷体_GB2312" w:cs="楷体_GB2312"/>
          <w:b/>
          <w:bCs/>
          <w:color w:val="auto"/>
          <w:spacing w:val="8"/>
          <w:sz w:val="32"/>
          <w:szCs w:val="32"/>
          <w:lang w:val="en-US" w:eastAsia="zh-CN"/>
        </w:rPr>
        <w:t>（三）</w:t>
      </w:r>
      <w:r>
        <w:rPr>
          <w:rFonts w:hint="default" w:ascii="楷体_GB2312" w:hAnsi="楷体_GB2312" w:eastAsia="楷体_GB2312" w:cs="楷体_GB2312"/>
          <w:b/>
          <w:bCs/>
          <w:color w:val="auto"/>
          <w:spacing w:val="8"/>
          <w:sz w:val="32"/>
          <w:szCs w:val="32"/>
          <w:lang w:val="en-US" w:eastAsia="zh-CN"/>
        </w:rPr>
        <w:t>营造良好发展环境</w:t>
      </w:r>
      <w:bookmarkEnd w:id="597"/>
      <w:bookmarkEnd w:id="598"/>
      <w:bookmarkEnd w:id="599"/>
      <w:bookmarkEnd w:id="600"/>
    </w:p>
    <w:p w14:paraId="6C9B021B">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default" w:ascii="仿宋_GB2312" w:hAnsi="仿宋_GB2312" w:eastAsia="仿宋_GB2312" w:cs="仿宋_GB2312"/>
          <w:color w:val="auto"/>
          <w:spacing w:val="6"/>
          <w:sz w:val="32"/>
          <w:szCs w:val="32"/>
          <w:lang w:val="en-US" w:eastAsia="zh-CN"/>
        </w:rPr>
        <w:t>积极拓宽投融资渠道，鼓励和引导建筑垃圾资源化利用企业延伸产业链条，参与建筑垃圾分类收集、分类运输、分类利用、分类处置等全过程。鼓励国有</w:t>
      </w:r>
    </w:p>
    <w:p w14:paraId="0372F53C">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default" w:ascii="仿宋_GB2312" w:hAnsi="仿宋_GB2312" w:eastAsia="仿宋_GB2312" w:cs="仿宋_GB2312"/>
          <w:color w:val="auto"/>
          <w:spacing w:val="6"/>
          <w:sz w:val="32"/>
          <w:szCs w:val="32"/>
          <w:lang w:val="en-US" w:eastAsia="zh-CN"/>
        </w:rPr>
        <w:t>大型企业参与建筑垃圾资源化利用项目建设运营，共同做大做强建筑垃圾综合利用产品生产和利用市场。开展建筑垃圾资源化利用示范企业和示范项目培育，培育一批技术装备水平</w:t>
      </w:r>
      <w:r>
        <w:rPr>
          <w:rFonts w:hint="eastAsia" w:ascii="仿宋_GB2312" w:hAnsi="仿宋_GB2312" w:eastAsia="仿宋_GB2312" w:cs="仿宋_GB2312"/>
          <w:color w:val="auto"/>
          <w:spacing w:val="6"/>
          <w:sz w:val="32"/>
          <w:szCs w:val="32"/>
          <w:lang w:val="en-US" w:eastAsia="zh-CN"/>
        </w:rPr>
        <w:t>高</w:t>
      </w:r>
      <w:r>
        <w:rPr>
          <w:rFonts w:hint="default" w:ascii="仿宋_GB2312" w:hAnsi="仿宋_GB2312" w:eastAsia="仿宋_GB2312" w:cs="仿宋_GB2312"/>
          <w:color w:val="auto"/>
          <w:spacing w:val="6"/>
          <w:sz w:val="32"/>
          <w:szCs w:val="32"/>
          <w:lang w:val="en-US" w:eastAsia="zh-CN"/>
        </w:rPr>
        <w:t>、产品市场竞争力强、运营管理水平高的建筑垃圾资源化利用示范企业和示范项目。</w:t>
      </w:r>
    </w:p>
    <w:p w14:paraId="442BE3B3">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default" w:ascii="黑体" w:hAnsi="黑体" w:eastAsia="黑体" w:cs="黑体"/>
          <w:b w:val="0"/>
          <w:bCs w:val="0"/>
          <w:color w:val="auto"/>
          <w:spacing w:val="2"/>
          <w:sz w:val="31"/>
          <w:szCs w:val="31"/>
          <w:lang w:val="en-US" w:eastAsia="zh-CN"/>
        </w:rPr>
      </w:pPr>
      <w:bookmarkStart w:id="601" w:name="_Toc9177"/>
      <w:bookmarkStart w:id="602" w:name="_Toc11572"/>
      <w:bookmarkStart w:id="603" w:name="_Toc12525"/>
      <w:bookmarkStart w:id="604" w:name="_Toc26297"/>
      <w:r>
        <w:rPr>
          <w:rFonts w:hint="eastAsia" w:ascii="黑体" w:hAnsi="黑体" w:eastAsia="黑体" w:cs="黑体"/>
          <w:b w:val="0"/>
          <w:bCs w:val="0"/>
          <w:color w:val="auto"/>
          <w:spacing w:val="2"/>
          <w:sz w:val="31"/>
          <w:szCs w:val="31"/>
          <w:lang w:val="en-US" w:eastAsia="zh-CN"/>
        </w:rPr>
        <w:t>二、</w:t>
      </w:r>
      <w:r>
        <w:rPr>
          <w:rFonts w:hint="default" w:ascii="黑体" w:hAnsi="黑体" w:eastAsia="黑体" w:cs="黑体"/>
          <w:b w:val="0"/>
          <w:bCs w:val="0"/>
          <w:color w:val="auto"/>
          <w:spacing w:val="2"/>
          <w:sz w:val="31"/>
          <w:szCs w:val="31"/>
          <w:lang w:val="en-US" w:eastAsia="zh-CN"/>
        </w:rPr>
        <w:t>组织保障</w:t>
      </w:r>
      <w:bookmarkEnd w:id="601"/>
      <w:bookmarkEnd w:id="602"/>
      <w:bookmarkEnd w:id="603"/>
      <w:bookmarkEnd w:id="604"/>
    </w:p>
    <w:p w14:paraId="109F4F4A">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default" w:ascii="仿宋_GB2312" w:hAnsi="仿宋_GB2312" w:eastAsia="仿宋_GB2312" w:cs="仿宋_GB2312"/>
          <w:color w:val="auto"/>
          <w:spacing w:val="6"/>
          <w:sz w:val="32"/>
          <w:szCs w:val="32"/>
          <w:lang w:val="en-US" w:eastAsia="zh-CN"/>
        </w:rPr>
        <w:t>加强党的集中统一领导，完善执行有力的组织体系，确保规划部署有效落实。各单位、各部门要进一步提高思想认识，主动担当作为，围绕目标任务和工作重点，积极协调各相关部门，形成工作合力，构建</w:t>
      </w:r>
      <w:r>
        <w:rPr>
          <w:rFonts w:hint="eastAsia" w:ascii="仿宋_GB2312" w:hAnsi="仿宋_GB2312" w:eastAsia="仿宋_GB2312" w:cs="仿宋_GB2312"/>
          <w:color w:val="auto"/>
          <w:spacing w:val="6"/>
          <w:sz w:val="32"/>
          <w:szCs w:val="32"/>
          <w:lang w:val="en-US" w:eastAsia="zh-CN"/>
        </w:rPr>
        <w:t>层级</w:t>
      </w:r>
      <w:r>
        <w:rPr>
          <w:rFonts w:hint="default" w:ascii="仿宋_GB2312" w:hAnsi="仿宋_GB2312" w:eastAsia="仿宋_GB2312" w:cs="仿宋_GB2312"/>
          <w:color w:val="auto"/>
          <w:spacing w:val="6"/>
          <w:sz w:val="32"/>
          <w:szCs w:val="32"/>
          <w:lang w:val="en-US" w:eastAsia="zh-CN"/>
        </w:rPr>
        <w:t>协同、条块结合、职能完整、责任清晰的管理体制，对目标任务细化、量化，建立制度化的规划跟踪、督导、推进、评价体系，组织开展规划实施年度监测分析和总结评估，使治理工作衔接有序、统筹推进，推动</w:t>
      </w:r>
      <w:r>
        <w:rPr>
          <w:rFonts w:hint="eastAsia" w:ascii="仿宋_GB2312" w:hAnsi="仿宋_GB2312" w:eastAsia="仿宋_GB2312" w:cs="仿宋_GB2312"/>
          <w:color w:val="auto"/>
          <w:spacing w:val="6"/>
          <w:sz w:val="32"/>
          <w:szCs w:val="32"/>
          <w:lang w:val="en-US" w:eastAsia="zh-CN"/>
        </w:rPr>
        <w:t>甘州区</w:t>
      </w:r>
      <w:r>
        <w:rPr>
          <w:rFonts w:hint="default" w:ascii="仿宋_GB2312" w:hAnsi="仿宋_GB2312" w:eastAsia="仿宋_GB2312" w:cs="仿宋_GB2312"/>
          <w:color w:val="auto"/>
          <w:spacing w:val="6"/>
          <w:sz w:val="32"/>
          <w:szCs w:val="32"/>
          <w:lang w:val="en-US" w:eastAsia="zh-CN"/>
        </w:rPr>
        <w:t>建筑垃圾污染防治工作全面开展。</w:t>
      </w:r>
    </w:p>
    <w:p w14:paraId="2A297601">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default" w:ascii="黑体" w:hAnsi="黑体" w:eastAsia="黑体" w:cs="黑体"/>
          <w:b w:val="0"/>
          <w:bCs w:val="0"/>
          <w:color w:val="auto"/>
          <w:spacing w:val="2"/>
          <w:sz w:val="31"/>
          <w:szCs w:val="31"/>
          <w:lang w:val="en-US" w:eastAsia="zh-CN"/>
        </w:rPr>
      </w:pPr>
      <w:bookmarkStart w:id="605" w:name="_Toc19335"/>
      <w:bookmarkStart w:id="606" w:name="_Toc26107"/>
      <w:bookmarkStart w:id="607" w:name="_Toc21456"/>
      <w:bookmarkStart w:id="608" w:name="_Toc25209"/>
      <w:r>
        <w:rPr>
          <w:rFonts w:hint="eastAsia" w:ascii="黑体" w:hAnsi="黑体" w:eastAsia="黑体" w:cs="黑体"/>
          <w:b w:val="0"/>
          <w:bCs w:val="0"/>
          <w:color w:val="auto"/>
          <w:spacing w:val="2"/>
          <w:sz w:val="31"/>
          <w:szCs w:val="31"/>
          <w:lang w:val="en-US" w:eastAsia="zh-CN"/>
        </w:rPr>
        <w:t>三、</w:t>
      </w:r>
      <w:r>
        <w:rPr>
          <w:rFonts w:hint="default" w:ascii="黑体" w:hAnsi="黑体" w:eastAsia="黑体" w:cs="黑体"/>
          <w:b w:val="0"/>
          <w:bCs w:val="0"/>
          <w:color w:val="auto"/>
          <w:spacing w:val="2"/>
          <w:sz w:val="31"/>
          <w:szCs w:val="31"/>
          <w:lang w:val="en-US" w:eastAsia="zh-CN"/>
        </w:rPr>
        <w:t>资金保障</w:t>
      </w:r>
      <w:bookmarkEnd w:id="605"/>
      <w:bookmarkEnd w:id="606"/>
      <w:bookmarkEnd w:id="607"/>
      <w:bookmarkEnd w:id="608"/>
    </w:p>
    <w:p w14:paraId="0588E53F">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default" w:ascii="楷体_GB2312" w:hAnsi="楷体_GB2312" w:eastAsia="楷体_GB2312" w:cs="楷体_GB2312"/>
          <w:b/>
          <w:bCs/>
          <w:color w:val="auto"/>
          <w:spacing w:val="8"/>
          <w:sz w:val="32"/>
          <w:szCs w:val="32"/>
          <w:lang w:val="en-US" w:eastAsia="zh-CN"/>
        </w:rPr>
      </w:pPr>
      <w:bookmarkStart w:id="609" w:name="_Toc7950"/>
      <w:bookmarkStart w:id="610" w:name="_Toc12687"/>
      <w:bookmarkStart w:id="611" w:name="_Toc31812"/>
      <w:bookmarkStart w:id="612" w:name="_Toc31746"/>
      <w:r>
        <w:rPr>
          <w:rFonts w:hint="eastAsia" w:ascii="楷体_GB2312" w:hAnsi="楷体_GB2312" w:eastAsia="楷体_GB2312" w:cs="楷体_GB2312"/>
          <w:b/>
          <w:bCs/>
          <w:color w:val="auto"/>
          <w:spacing w:val="8"/>
          <w:sz w:val="32"/>
          <w:szCs w:val="32"/>
          <w:lang w:val="en-US" w:eastAsia="zh-CN"/>
        </w:rPr>
        <w:t>（一）</w:t>
      </w:r>
      <w:r>
        <w:rPr>
          <w:rFonts w:hint="default" w:ascii="楷体_GB2312" w:hAnsi="楷体_GB2312" w:eastAsia="楷体_GB2312" w:cs="楷体_GB2312"/>
          <w:b/>
          <w:bCs/>
          <w:color w:val="auto"/>
          <w:spacing w:val="8"/>
          <w:sz w:val="32"/>
          <w:szCs w:val="32"/>
          <w:lang w:val="en-US" w:eastAsia="zh-CN"/>
        </w:rPr>
        <w:t>统筹安排资金的来源和分配</w:t>
      </w:r>
      <w:bookmarkEnd w:id="609"/>
      <w:bookmarkEnd w:id="610"/>
      <w:bookmarkEnd w:id="611"/>
      <w:bookmarkEnd w:id="612"/>
    </w:p>
    <w:p w14:paraId="6F65F6E9">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工作资金来源</w:t>
      </w:r>
      <w:r>
        <w:rPr>
          <w:rFonts w:hint="default" w:ascii="仿宋_GB2312" w:hAnsi="仿宋_GB2312" w:eastAsia="仿宋_GB2312" w:cs="仿宋_GB2312"/>
          <w:color w:val="auto"/>
          <w:spacing w:val="6"/>
          <w:sz w:val="32"/>
          <w:szCs w:val="32"/>
          <w:lang w:val="en-US" w:eastAsia="zh-CN"/>
        </w:rPr>
        <w:t>包括政府财政资金、社会资本投入、专项资金等渠道。在确定资金来源的同时，合理分配资金用于建设项目、技术创新、政策推广等方面，确保资金使用的有效性和合理性。建立和完善企业、社会等多元化投融资体系，引导社会资金参与城市管理基础设施和社会化服务项目建设运营，形成多元化、可持续的资金投入机制。加强对专项资金的监管，对专项资金使用情况进行跟踪检查，确保资金使用的合规性和有效性，同时落实绩效管理要求，将绩效评价结果纳入财政分配考虑范围。</w:t>
      </w:r>
    </w:p>
    <w:p w14:paraId="02653F59">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default" w:ascii="楷体_GB2312" w:hAnsi="楷体_GB2312" w:eastAsia="楷体_GB2312" w:cs="楷体_GB2312"/>
          <w:b/>
          <w:bCs/>
          <w:color w:val="auto"/>
          <w:spacing w:val="8"/>
          <w:sz w:val="32"/>
          <w:szCs w:val="32"/>
          <w:lang w:val="en-US" w:eastAsia="zh-CN"/>
        </w:rPr>
      </w:pPr>
      <w:bookmarkStart w:id="613" w:name="_Toc23695"/>
      <w:bookmarkStart w:id="614" w:name="_Toc16914"/>
      <w:bookmarkStart w:id="615" w:name="_Toc26890"/>
      <w:bookmarkStart w:id="616" w:name="_Toc17479"/>
      <w:r>
        <w:rPr>
          <w:rFonts w:hint="eastAsia" w:ascii="楷体_GB2312" w:hAnsi="楷体_GB2312" w:eastAsia="楷体_GB2312" w:cs="楷体_GB2312"/>
          <w:b/>
          <w:bCs/>
          <w:color w:val="auto"/>
          <w:spacing w:val="8"/>
          <w:sz w:val="32"/>
          <w:szCs w:val="32"/>
          <w:lang w:val="en-US" w:eastAsia="zh-CN"/>
        </w:rPr>
        <w:t>（二）</w:t>
      </w:r>
      <w:r>
        <w:rPr>
          <w:rFonts w:hint="default" w:ascii="楷体_GB2312" w:hAnsi="楷体_GB2312" w:eastAsia="楷体_GB2312" w:cs="楷体_GB2312"/>
          <w:b/>
          <w:bCs/>
          <w:color w:val="auto"/>
          <w:spacing w:val="8"/>
          <w:sz w:val="32"/>
          <w:szCs w:val="32"/>
          <w:lang w:val="en-US" w:eastAsia="zh-CN"/>
        </w:rPr>
        <w:t>纳入本级政府年度财政预算</w:t>
      </w:r>
      <w:bookmarkEnd w:id="613"/>
      <w:bookmarkEnd w:id="614"/>
      <w:bookmarkEnd w:id="615"/>
      <w:bookmarkEnd w:id="616"/>
    </w:p>
    <w:p w14:paraId="11536ACE">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default" w:ascii="仿宋_GB2312" w:hAnsi="仿宋_GB2312" w:eastAsia="仿宋_GB2312" w:cs="仿宋_GB2312"/>
          <w:color w:val="auto"/>
          <w:spacing w:val="6"/>
          <w:sz w:val="32"/>
          <w:szCs w:val="32"/>
          <w:lang w:val="en-US" w:eastAsia="zh-CN"/>
        </w:rPr>
        <w:t>建筑垃圾治理工作中所涉垃圾收集、转运与处置设施、设备的采购、发放、配置安装费用</w:t>
      </w:r>
      <w:r>
        <w:rPr>
          <w:rFonts w:hint="eastAsia" w:ascii="仿宋_GB2312" w:hAnsi="仿宋_GB2312" w:eastAsia="仿宋_GB2312" w:cs="仿宋_GB2312"/>
          <w:color w:val="auto"/>
          <w:spacing w:val="6"/>
          <w:sz w:val="32"/>
          <w:szCs w:val="32"/>
          <w:lang w:val="en-US" w:eastAsia="zh-CN"/>
        </w:rPr>
        <w:t>，以</w:t>
      </w:r>
      <w:r>
        <w:rPr>
          <w:rFonts w:hint="default" w:ascii="仿宋_GB2312" w:hAnsi="仿宋_GB2312" w:eastAsia="仿宋_GB2312" w:cs="仿宋_GB2312"/>
          <w:color w:val="auto"/>
          <w:spacing w:val="6"/>
          <w:sz w:val="32"/>
          <w:szCs w:val="32"/>
          <w:lang w:val="en-US" w:eastAsia="zh-CN"/>
        </w:rPr>
        <w:t>及由于垃圾分类增加的人员培训、宣传督导、奖励补助及设施设备运行成本应纳入本级政府年度财政预算。</w:t>
      </w:r>
    </w:p>
    <w:p w14:paraId="52BD15D2">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default" w:ascii="楷体_GB2312" w:hAnsi="楷体_GB2312" w:eastAsia="楷体_GB2312" w:cs="楷体_GB2312"/>
          <w:b/>
          <w:bCs/>
          <w:color w:val="auto"/>
          <w:spacing w:val="8"/>
          <w:sz w:val="32"/>
          <w:szCs w:val="32"/>
          <w:lang w:val="en-US" w:eastAsia="zh-CN"/>
        </w:rPr>
      </w:pPr>
      <w:bookmarkStart w:id="617" w:name="_Toc10774"/>
      <w:bookmarkStart w:id="618" w:name="_Toc707"/>
      <w:bookmarkStart w:id="619" w:name="_Toc21994"/>
      <w:bookmarkStart w:id="620" w:name="_Toc2170"/>
      <w:r>
        <w:rPr>
          <w:rFonts w:hint="eastAsia" w:ascii="楷体_GB2312" w:hAnsi="楷体_GB2312" w:eastAsia="楷体_GB2312" w:cs="楷体_GB2312"/>
          <w:b/>
          <w:bCs/>
          <w:color w:val="auto"/>
          <w:spacing w:val="8"/>
          <w:sz w:val="32"/>
          <w:szCs w:val="32"/>
          <w:lang w:val="en-US" w:eastAsia="zh-CN"/>
        </w:rPr>
        <w:t>（三）</w:t>
      </w:r>
      <w:r>
        <w:rPr>
          <w:rFonts w:hint="default" w:ascii="楷体_GB2312" w:hAnsi="楷体_GB2312" w:eastAsia="楷体_GB2312" w:cs="楷体_GB2312"/>
          <w:b/>
          <w:bCs/>
          <w:color w:val="auto"/>
          <w:spacing w:val="8"/>
          <w:sz w:val="32"/>
          <w:szCs w:val="32"/>
          <w:lang w:val="en-US" w:eastAsia="zh-CN"/>
        </w:rPr>
        <w:t>市场化运营机制拓展资金来源</w:t>
      </w:r>
      <w:bookmarkEnd w:id="617"/>
      <w:bookmarkEnd w:id="618"/>
      <w:bookmarkEnd w:id="619"/>
      <w:bookmarkEnd w:id="620"/>
    </w:p>
    <w:p w14:paraId="0D98AE1A">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default" w:ascii="仿宋_GB2312" w:hAnsi="仿宋_GB2312" w:eastAsia="仿宋_GB2312" w:cs="仿宋_GB2312"/>
          <w:color w:val="auto"/>
          <w:spacing w:val="6"/>
          <w:sz w:val="32"/>
          <w:szCs w:val="32"/>
          <w:lang w:val="en-US" w:eastAsia="zh-CN"/>
        </w:rPr>
        <w:t>部分建筑垃圾的收运处置都具有市场属性，可通过市场化模式引入社会资本参与，特别是在处理设施的建设投资方面，应多渠道、多层次</w:t>
      </w:r>
      <w:r>
        <w:rPr>
          <w:rFonts w:hint="eastAsia" w:ascii="仿宋_GB2312" w:hAnsi="仿宋_GB2312" w:eastAsia="仿宋_GB2312" w:cs="仿宋_GB2312"/>
          <w:color w:val="auto"/>
          <w:spacing w:val="6"/>
          <w:sz w:val="32"/>
          <w:szCs w:val="32"/>
          <w:lang w:val="en-US" w:eastAsia="zh-CN"/>
        </w:rPr>
        <w:t>地</w:t>
      </w:r>
      <w:r>
        <w:rPr>
          <w:rFonts w:hint="default" w:ascii="仿宋_GB2312" w:hAnsi="仿宋_GB2312" w:eastAsia="仿宋_GB2312" w:cs="仿宋_GB2312"/>
          <w:color w:val="auto"/>
          <w:spacing w:val="6"/>
          <w:sz w:val="32"/>
          <w:szCs w:val="32"/>
          <w:lang w:val="en-US" w:eastAsia="zh-CN"/>
        </w:rPr>
        <w:t>筹集资金，改变单一的资金来源。同时完善投资政策，本着“谁投资、谁运营、谁收益”的原则，充分发挥市场作用，加快建筑垃圾处理产业化进程。</w:t>
      </w:r>
    </w:p>
    <w:p w14:paraId="1C108177">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default" w:ascii="黑体" w:hAnsi="黑体" w:eastAsia="黑体" w:cs="黑体"/>
          <w:b w:val="0"/>
          <w:bCs w:val="0"/>
          <w:color w:val="auto"/>
          <w:spacing w:val="2"/>
          <w:sz w:val="31"/>
          <w:szCs w:val="31"/>
          <w:lang w:val="en-US" w:eastAsia="zh-CN"/>
        </w:rPr>
      </w:pPr>
      <w:bookmarkStart w:id="621" w:name="_Toc23783"/>
      <w:bookmarkStart w:id="622" w:name="_Toc25256"/>
      <w:bookmarkStart w:id="623" w:name="_Toc7721"/>
      <w:bookmarkStart w:id="624" w:name="_Toc25538"/>
      <w:r>
        <w:rPr>
          <w:rFonts w:hint="eastAsia" w:ascii="黑体" w:hAnsi="黑体" w:eastAsia="黑体" w:cs="黑体"/>
          <w:b w:val="0"/>
          <w:bCs w:val="0"/>
          <w:color w:val="auto"/>
          <w:spacing w:val="2"/>
          <w:sz w:val="31"/>
          <w:szCs w:val="31"/>
          <w:lang w:val="en-US" w:eastAsia="zh-CN"/>
        </w:rPr>
        <w:t>四、</w:t>
      </w:r>
      <w:r>
        <w:rPr>
          <w:rFonts w:hint="default" w:ascii="黑体" w:hAnsi="黑体" w:eastAsia="黑体" w:cs="黑体"/>
          <w:b w:val="0"/>
          <w:bCs w:val="0"/>
          <w:color w:val="auto"/>
          <w:spacing w:val="2"/>
          <w:sz w:val="31"/>
          <w:szCs w:val="31"/>
          <w:lang w:val="en-US" w:eastAsia="zh-CN"/>
        </w:rPr>
        <w:t>土地保障</w:t>
      </w:r>
      <w:bookmarkEnd w:id="621"/>
      <w:bookmarkEnd w:id="622"/>
      <w:bookmarkEnd w:id="623"/>
      <w:bookmarkEnd w:id="624"/>
    </w:p>
    <w:p w14:paraId="7A6302D3">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default" w:ascii="仿宋_GB2312" w:hAnsi="仿宋_GB2312" w:eastAsia="仿宋_GB2312" w:cs="仿宋_GB2312"/>
          <w:color w:val="auto"/>
          <w:spacing w:val="6"/>
          <w:sz w:val="32"/>
          <w:szCs w:val="32"/>
          <w:lang w:val="en-US" w:eastAsia="zh-CN"/>
        </w:rPr>
        <w:t>自然资源部门在国土空间规划、土地利用规划和城乡建设详细规划中应落实建筑垃圾处理设施的布局、选址和用地规模需求，在土地出让和审批中应明确相关设施的配置标准。适宜采用灵活用地的设施，可通过租赁、先租后让、租让结合、弹性年期出让等方式落实用地保障。相关建筑垃圾转运设施、处理设施的规划建设或改造提升方案，应征求环境卫生、综合执法等牵头管理部门的意见。大中型垃圾转运设施、处理设施的建设单位应在设施建设前到生态环境部门办理相关审批手续。</w:t>
      </w:r>
    </w:p>
    <w:p w14:paraId="3C42C166">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28" w:firstLineChars="200"/>
        <w:textAlignment w:val="baseline"/>
        <w:outlineLvl w:val="0"/>
        <w:rPr>
          <w:rFonts w:hint="default" w:ascii="黑体" w:hAnsi="黑体" w:eastAsia="黑体" w:cs="黑体"/>
          <w:b w:val="0"/>
          <w:bCs w:val="0"/>
          <w:color w:val="auto"/>
          <w:spacing w:val="2"/>
          <w:sz w:val="31"/>
          <w:szCs w:val="31"/>
          <w:lang w:val="en-US" w:eastAsia="zh-CN"/>
        </w:rPr>
      </w:pPr>
      <w:bookmarkStart w:id="625" w:name="_Toc16547"/>
      <w:bookmarkStart w:id="626" w:name="_Toc26314"/>
      <w:bookmarkStart w:id="627" w:name="_Toc14390"/>
      <w:bookmarkStart w:id="628" w:name="_Toc31298"/>
      <w:r>
        <w:rPr>
          <w:rFonts w:hint="eastAsia" w:ascii="黑体" w:hAnsi="黑体" w:eastAsia="黑体" w:cs="黑体"/>
          <w:b w:val="0"/>
          <w:bCs w:val="0"/>
          <w:color w:val="auto"/>
          <w:spacing w:val="2"/>
          <w:sz w:val="31"/>
          <w:szCs w:val="31"/>
          <w:lang w:val="en-US" w:eastAsia="zh-CN"/>
        </w:rPr>
        <w:t>五、</w:t>
      </w:r>
      <w:r>
        <w:rPr>
          <w:rFonts w:hint="default" w:ascii="黑体" w:hAnsi="黑体" w:eastAsia="黑体" w:cs="黑体"/>
          <w:b w:val="0"/>
          <w:bCs w:val="0"/>
          <w:color w:val="auto"/>
          <w:spacing w:val="2"/>
          <w:sz w:val="31"/>
          <w:szCs w:val="31"/>
          <w:lang w:val="en-US" w:eastAsia="zh-CN"/>
        </w:rPr>
        <w:t>技术保障</w:t>
      </w:r>
      <w:bookmarkEnd w:id="625"/>
      <w:bookmarkEnd w:id="626"/>
      <w:bookmarkEnd w:id="627"/>
      <w:bookmarkEnd w:id="628"/>
    </w:p>
    <w:p w14:paraId="1D48DD79">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default" w:ascii="楷体_GB2312" w:hAnsi="楷体_GB2312" w:eastAsia="楷体_GB2312" w:cs="楷体_GB2312"/>
          <w:b/>
          <w:bCs/>
          <w:color w:val="auto"/>
          <w:spacing w:val="8"/>
          <w:sz w:val="32"/>
          <w:szCs w:val="32"/>
          <w:lang w:val="en-US" w:eastAsia="zh-CN"/>
        </w:rPr>
      </w:pPr>
      <w:bookmarkStart w:id="629" w:name="_Toc29573"/>
      <w:bookmarkStart w:id="630" w:name="_Toc27331"/>
      <w:bookmarkStart w:id="631" w:name="_Toc4548"/>
      <w:bookmarkStart w:id="632" w:name="_Toc10424"/>
      <w:r>
        <w:rPr>
          <w:rFonts w:hint="eastAsia" w:ascii="楷体_GB2312" w:hAnsi="楷体_GB2312" w:eastAsia="楷体_GB2312" w:cs="楷体_GB2312"/>
          <w:b/>
          <w:bCs/>
          <w:color w:val="auto"/>
          <w:spacing w:val="8"/>
          <w:sz w:val="32"/>
          <w:szCs w:val="32"/>
          <w:lang w:val="en-US" w:eastAsia="zh-CN"/>
        </w:rPr>
        <w:t>（一）</w:t>
      </w:r>
      <w:r>
        <w:rPr>
          <w:rFonts w:hint="default" w:ascii="楷体_GB2312" w:hAnsi="楷体_GB2312" w:eastAsia="楷体_GB2312" w:cs="楷体_GB2312"/>
          <w:b/>
          <w:bCs/>
          <w:color w:val="auto"/>
          <w:spacing w:val="8"/>
          <w:sz w:val="32"/>
          <w:szCs w:val="32"/>
          <w:lang w:val="en-US" w:eastAsia="zh-CN"/>
        </w:rPr>
        <w:t>推进建筑垃圾治理数字化</w:t>
      </w:r>
      <w:bookmarkEnd w:id="629"/>
      <w:bookmarkEnd w:id="630"/>
      <w:bookmarkEnd w:id="631"/>
      <w:bookmarkEnd w:id="632"/>
    </w:p>
    <w:p w14:paraId="54F1D484">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default" w:ascii="仿宋_GB2312" w:hAnsi="仿宋_GB2312" w:eastAsia="仿宋_GB2312" w:cs="仿宋_GB2312"/>
          <w:color w:val="auto"/>
          <w:spacing w:val="6"/>
          <w:sz w:val="32"/>
          <w:szCs w:val="32"/>
          <w:lang w:val="en-US" w:eastAsia="zh-CN"/>
        </w:rPr>
        <w:t>搭建建筑垃圾智慧监管系统模块，运用建筑垃圾大数据管理信息平台工具，对经审批的建筑垃圾排放、运输、</w:t>
      </w:r>
      <w:r>
        <w:rPr>
          <w:rFonts w:hint="eastAsia" w:ascii="仿宋_GB2312" w:hAnsi="仿宋_GB2312" w:eastAsia="仿宋_GB2312" w:cs="仿宋_GB2312"/>
          <w:color w:val="auto"/>
          <w:spacing w:val="6"/>
          <w:sz w:val="32"/>
          <w:szCs w:val="32"/>
          <w:lang w:val="en-US" w:eastAsia="zh-CN"/>
        </w:rPr>
        <w:t>处理单元</w:t>
      </w:r>
      <w:r>
        <w:rPr>
          <w:rFonts w:hint="default" w:ascii="仿宋_GB2312" w:hAnsi="仿宋_GB2312" w:eastAsia="仿宋_GB2312" w:cs="仿宋_GB2312"/>
          <w:color w:val="auto"/>
          <w:spacing w:val="6"/>
          <w:sz w:val="32"/>
          <w:szCs w:val="32"/>
          <w:lang w:val="en-US" w:eastAsia="zh-CN"/>
        </w:rPr>
        <w:t>数据进行统计、分析。将建筑垃圾源头分类、运输和末端处置全部纳入管理信息平台，整合现有视频监控、渣土车北斗车辆定位系统，实现源头分类、中端运输和末端处置监控全覆盖。基于数字地图的定位系统，通过电子联单对全</w:t>
      </w:r>
      <w:r>
        <w:rPr>
          <w:rFonts w:hint="eastAsia" w:ascii="仿宋_GB2312" w:hAnsi="仿宋_GB2312" w:eastAsia="仿宋_GB2312" w:cs="仿宋_GB2312"/>
          <w:color w:val="auto"/>
          <w:spacing w:val="6"/>
          <w:sz w:val="32"/>
          <w:szCs w:val="32"/>
          <w:lang w:val="en-US" w:eastAsia="zh-CN"/>
        </w:rPr>
        <w:t>区</w:t>
      </w:r>
      <w:r>
        <w:rPr>
          <w:rFonts w:hint="default" w:ascii="仿宋_GB2312" w:hAnsi="仿宋_GB2312" w:eastAsia="仿宋_GB2312" w:cs="仿宋_GB2312"/>
          <w:color w:val="auto"/>
          <w:spacing w:val="6"/>
          <w:sz w:val="32"/>
          <w:szCs w:val="32"/>
          <w:lang w:val="en-US" w:eastAsia="zh-CN"/>
        </w:rPr>
        <w:t>建筑垃圾排放、运输、中转、</w:t>
      </w:r>
      <w:r>
        <w:rPr>
          <w:rFonts w:hint="default" w:ascii="仿宋_GB2312" w:hAnsi="仿宋_GB2312" w:eastAsia="仿宋_GB2312" w:cs="仿宋_GB2312"/>
          <w:color w:val="auto"/>
          <w:spacing w:val="0"/>
          <w:sz w:val="32"/>
          <w:szCs w:val="32"/>
          <w:lang w:val="en-US" w:eastAsia="zh-CN"/>
        </w:rPr>
        <w:t>回填、收纳、利用等过程进行全流程监管，实现建筑垃圾闭环管理。</w:t>
      </w:r>
    </w:p>
    <w:p w14:paraId="45E3B732">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default" w:ascii="楷体_GB2312" w:hAnsi="楷体_GB2312" w:eastAsia="楷体_GB2312" w:cs="楷体_GB2312"/>
          <w:b/>
          <w:bCs/>
          <w:color w:val="auto"/>
          <w:spacing w:val="8"/>
          <w:sz w:val="32"/>
          <w:szCs w:val="32"/>
          <w:lang w:val="en-US" w:eastAsia="zh-CN"/>
        </w:rPr>
      </w:pPr>
      <w:bookmarkStart w:id="633" w:name="_Toc31397"/>
      <w:bookmarkStart w:id="634" w:name="_Toc20175"/>
      <w:bookmarkStart w:id="635" w:name="_Toc18033"/>
      <w:bookmarkStart w:id="636" w:name="_Toc1894"/>
      <w:r>
        <w:rPr>
          <w:rFonts w:hint="eastAsia" w:ascii="楷体_GB2312" w:hAnsi="楷体_GB2312" w:eastAsia="楷体_GB2312" w:cs="楷体_GB2312"/>
          <w:b/>
          <w:bCs/>
          <w:color w:val="auto"/>
          <w:spacing w:val="8"/>
          <w:sz w:val="32"/>
          <w:szCs w:val="32"/>
          <w:lang w:val="en-US" w:eastAsia="zh-CN"/>
        </w:rPr>
        <w:t>（二）</w:t>
      </w:r>
      <w:r>
        <w:rPr>
          <w:rFonts w:hint="default" w:ascii="楷体_GB2312" w:hAnsi="楷体_GB2312" w:eastAsia="楷体_GB2312" w:cs="楷体_GB2312"/>
          <w:b/>
          <w:bCs/>
          <w:color w:val="auto"/>
          <w:spacing w:val="8"/>
          <w:sz w:val="32"/>
          <w:szCs w:val="32"/>
          <w:lang w:val="en-US" w:eastAsia="zh-CN"/>
        </w:rPr>
        <w:t>提升从业人员专业化水平</w:t>
      </w:r>
      <w:bookmarkEnd w:id="633"/>
      <w:bookmarkEnd w:id="634"/>
      <w:bookmarkEnd w:id="635"/>
      <w:bookmarkEnd w:id="636"/>
    </w:p>
    <w:p w14:paraId="2CF6BF35">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default" w:ascii="仿宋_GB2312" w:hAnsi="仿宋_GB2312" w:eastAsia="仿宋_GB2312" w:cs="仿宋_GB2312"/>
          <w:color w:val="auto"/>
          <w:spacing w:val="6"/>
          <w:sz w:val="32"/>
          <w:szCs w:val="32"/>
          <w:lang w:val="en-US" w:eastAsia="zh-CN"/>
        </w:rPr>
        <w:t>充实建筑垃圾治理岗位专业技术人员或管理人员，建立一线作业人员的作业技能培训、作业资格认证、等级评定等制度，保障人员专业操作技能。定期组织从业人员参加建筑垃圾污染防治的专业培训，包括政策法规、处理技术、资源化利用等方面的内容，通过培训，使从业人员掌握最新的行业动态和技术进展。成立建筑垃圾污染防治行业协会或组织，加强行业自律和监管，通过行业协会，推动从业人员之间的交流和合作，共同提升行业的整体水平。</w:t>
      </w:r>
    </w:p>
    <w:p w14:paraId="7A0B94AD">
      <w:pPr>
        <w:keepNext w:val="0"/>
        <w:keepLines w:val="0"/>
        <w:pageBreakBefore w:val="0"/>
        <w:widowControl w:val="0"/>
        <w:kinsoku/>
        <w:wordWrap/>
        <w:overflowPunct/>
        <w:topLinePunct w:val="0"/>
        <w:autoSpaceDE w:val="0"/>
        <w:autoSpaceDN w:val="0"/>
        <w:bidi w:val="0"/>
        <w:adjustRightInd w:val="0"/>
        <w:snapToGrid w:val="0"/>
        <w:spacing w:line="560" w:lineRule="exact"/>
        <w:ind w:left="0" w:leftChars="0" w:right="0" w:rightChars="0" w:firstLine="675" w:firstLineChars="200"/>
        <w:textAlignment w:val="baseline"/>
        <w:outlineLvl w:val="1"/>
        <w:rPr>
          <w:rFonts w:hint="default" w:ascii="楷体_GB2312" w:hAnsi="楷体_GB2312" w:eastAsia="楷体_GB2312" w:cs="楷体_GB2312"/>
          <w:b/>
          <w:bCs/>
          <w:color w:val="auto"/>
          <w:spacing w:val="8"/>
          <w:sz w:val="32"/>
          <w:szCs w:val="32"/>
          <w:lang w:val="en-US" w:eastAsia="zh-CN"/>
        </w:rPr>
      </w:pPr>
      <w:bookmarkStart w:id="637" w:name="_Toc7145"/>
      <w:bookmarkStart w:id="638" w:name="_Toc11451"/>
      <w:bookmarkStart w:id="639" w:name="_Toc31183"/>
      <w:bookmarkStart w:id="640" w:name="_Toc31721"/>
      <w:r>
        <w:rPr>
          <w:rFonts w:hint="eastAsia" w:ascii="楷体_GB2312" w:hAnsi="楷体_GB2312" w:eastAsia="楷体_GB2312" w:cs="楷体_GB2312"/>
          <w:b/>
          <w:bCs/>
          <w:color w:val="auto"/>
          <w:spacing w:val="8"/>
          <w:sz w:val="32"/>
          <w:szCs w:val="32"/>
          <w:lang w:val="en-US" w:eastAsia="zh-CN"/>
        </w:rPr>
        <w:t>（三）</w:t>
      </w:r>
      <w:r>
        <w:rPr>
          <w:rFonts w:hint="default" w:ascii="楷体_GB2312" w:hAnsi="楷体_GB2312" w:eastAsia="楷体_GB2312" w:cs="楷体_GB2312"/>
          <w:b/>
          <w:bCs/>
          <w:color w:val="auto"/>
          <w:spacing w:val="8"/>
          <w:sz w:val="32"/>
          <w:szCs w:val="32"/>
          <w:lang w:val="en-US" w:eastAsia="zh-CN"/>
        </w:rPr>
        <w:t>强化科技支撑与标准化管理</w:t>
      </w:r>
      <w:bookmarkEnd w:id="637"/>
      <w:bookmarkEnd w:id="638"/>
      <w:bookmarkEnd w:id="639"/>
      <w:bookmarkEnd w:id="640"/>
    </w:p>
    <w:p w14:paraId="57630165">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default" w:ascii="仿宋_GB2312" w:hAnsi="仿宋_GB2312" w:eastAsia="仿宋_GB2312" w:cs="仿宋_GB2312"/>
          <w:color w:val="auto"/>
          <w:spacing w:val="6"/>
          <w:sz w:val="32"/>
          <w:szCs w:val="32"/>
          <w:lang w:val="en-US" w:eastAsia="zh-CN"/>
        </w:rPr>
        <w:t>鼓励引进并推广建筑垃圾综合利用产品新技术、新材料、新工艺、新设备，加快推进建筑垃圾资源化利用工艺和产品标准化、规范化，扩大建筑垃圾综合利用产品应用范围，提高产品附加值。制定与建筑垃圾污染环境防治</w:t>
      </w:r>
      <w:r>
        <w:rPr>
          <w:rFonts w:hint="eastAsia" w:ascii="仿宋_GB2312" w:hAnsi="仿宋_GB2312" w:eastAsia="仿宋_GB2312" w:cs="仿宋_GB2312"/>
          <w:color w:val="auto"/>
          <w:spacing w:val="6"/>
          <w:sz w:val="32"/>
          <w:szCs w:val="32"/>
          <w:lang w:val="en-US" w:eastAsia="zh-CN"/>
        </w:rPr>
        <w:t>工作规范</w:t>
      </w:r>
      <w:r>
        <w:rPr>
          <w:rFonts w:hint="default" w:ascii="仿宋_GB2312" w:hAnsi="仿宋_GB2312" w:eastAsia="仿宋_GB2312" w:cs="仿宋_GB2312"/>
          <w:color w:val="auto"/>
          <w:spacing w:val="6"/>
          <w:sz w:val="32"/>
          <w:szCs w:val="32"/>
          <w:lang w:val="en-US" w:eastAsia="zh-CN"/>
        </w:rPr>
        <w:t>实施相配套的技术标准，涵盖建筑垃圾分类、处理、利用等方面的技术要求和操作规程。根据规划目标和产业发展需求，确保建筑垃圾污染环境防治工作的科学性、规范性和可操作性，为实施规划提供技术支持和保障。</w:t>
      </w:r>
    </w:p>
    <w:p w14:paraId="154D6005">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default" w:ascii="仿宋_GB2312" w:hAnsi="仿宋_GB2312" w:eastAsia="仿宋_GB2312" w:cs="仿宋_GB2312"/>
          <w:color w:val="auto"/>
          <w:spacing w:val="6"/>
          <w:sz w:val="32"/>
          <w:szCs w:val="32"/>
          <w:lang w:val="en-US" w:eastAsia="zh-CN"/>
        </w:rPr>
        <w:sectPr>
          <w:headerReference r:id="rId17" w:type="default"/>
          <w:pgSz w:w="23811" w:h="16838" w:orient="landscape"/>
          <w:pgMar w:top="1800" w:right="1440" w:bottom="1800" w:left="1440" w:header="851" w:footer="992" w:gutter="0"/>
          <w:pgNumType w:fmt="numberInDash"/>
          <w:cols w:space="2106" w:num="2"/>
          <w:docGrid w:type="lines" w:linePitch="312" w:charSpace="0"/>
        </w:sectPr>
      </w:pPr>
    </w:p>
    <w:p w14:paraId="0747D646">
      <w:pPr>
        <w:keepNext w:val="0"/>
        <w:keepLines w:val="0"/>
        <w:pageBreakBefore w:val="0"/>
        <w:widowControl w:val="0"/>
        <w:numPr>
          <w:ilvl w:val="0"/>
          <w:numId w:val="0"/>
        </w:numPr>
        <w:kinsoku/>
        <w:wordWrap/>
        <w:overflowPunct/>
        <w:topLinePunct w:val="0"/>
        <w:autoSpaceDE w:val="0"/>
        <w:autoSpaceDN w:val="0"/>
        <w:bidi w:val="0"/>
        <w:adjustRightInd w:val="0"/>
        <w:snapToGrid w:val="0"/>
        <w:spacing w:after="313" w:afterLines="100" w:line="560" w:lineRule="exact"/>
        <w:ind w:right="0" w:rightChars="0"/>
        <w:jc w:val="center"/>
        <w:textAlignment w:val="baseline"/>
        <w:outlineLvl w:val="0"/>
        <w:rPr>
          <w:rFonts w:hint="eastAsia" w:ascii="黑体" w:hAnsi="黑体" w:eastAsia="黑体" w:cs="黑体"/>
          <w:color w:val="auto"/>
          <w:spacing w:val="7"/>
          <w:sz w:val="44"/>
          <w:szCs w:val="44"/>
          <w:lang w:val="en-US" w:eastAsia="zh-CN"/>
        </w:rPr>
      </w:pPr>
      <w:bookmarkStart w:id="641" w:name="_Toc11323"/>
      <w:bookmarkStart w:id="642" w:name="_Toc13094"/>
      <w:bookmarkStart w:id="643" w:name="_Toc20936"/>
      <w:bookmarkStart w:id="644" w:name="_Toc16286"/>
      <w:r>
        <w:rPr>
          <w:rFonts w:hint="eastAsia" w:ascii="黑体" w:hAnsi="黑体" w:eastAsia="黑体" w:cs="黑体"/>
          <w:color w:val="auto"/>
          <w:spacing w:val="7"/>
          <w:sz w:val="44"/>
          <w:szCs w:val="44"/>
          <w:lang w:val="en-US" w:eastAsia="zh-CN"/>
        </w:rPr>
        <w:t>附图</w:t>
      </w:r>
      <w:bookmarkEnd w:id="641"/>
      <w:bookmarkEnd w:id="642"/>
      <w:bookmarkEnd w:id="643"/>
      <w:bookmarkEnd w:id="644"/>
    </w:p>
    <w:p w14:paraId="26289E95">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01 甘肃省在全国的地理区位图</w:t>
      </w:r>
    </w:p>
    <w:p w14:paraId="5F35AAF7">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02 张掖市在甘肃省的地理区位图</w:t>
      </w:r>
    </w:p>
    <w:p w14:paraId="31004F29">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default"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03 甘州区区位分析图</w:t>
      </w:r>
    </w:p>
    <w:p w14:paraId="0FD2E35B">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04 甘州区行政区划图</w:t>
      </w:r>
    </w:p>
    <w:p w14:paraId="0A6DA43A">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05 规划范围图</w:t>
      </w:r>
    </w:p>
    <w:p w14:paraId="3AEB8124">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06 建筑垃圾收运处理设施现状图</w:t>
      </w:r>
    </w:p>
    <w:p w14:paraId="11E93991">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07 建筑垃圾收运处理设施规划图</w:t>
      </w:r>
    </w:p>
    <w:p w14:paraId="388CA2E7">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08 建筑垃圾堆倒场功能分区现状图</w:t>
      </w:r>
    </w:p>
    <w:p w14:paraId="1761D88C">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eastAsia" w:ascii="仿宋_GB2312" w:hAnsi="仿宋_GB2312" w:eastAsia="仿宋_GB2312" w:cs="仿宋_GB2312"/>
          <w:color w:val="auto"/>
          <w:spacing w:val="6"/>
          <w:sz w:val="32"/>
          <w:szCs w:val="32"/>
          <w:lang w:val="en-US" w:eastAsia="zh-CN"/>
        </w:rPr>
      </w:pPr>
      <w:r>
        <w:rPr>
          <w:rFonts w:hint="eastAsia" w:ascii="仿宋_GB2312" w:hAnsi="仿宋_GB2312" w:eastAsia="仿宋_GB2312" w:cs="仿宋_GB2312"/>
          <w:color w:val="auto"/>
          <w:spacing w:val="6"/>
          <w:sz w:val="32"/>
          <w:szCs w:val="32"/>
          <w:lang w:val="en-US" w:eastAsia="zh-CN"/>
        </w:rPr>
        <w:t>09 建筑垃圾堆倒场近期建设规划图</w:t>
      </w:r>
    </w:p>
    <w:p w14:paraId="29E59B4D">
      <w:pPr>
        <w:keepNext w:val="0"/>
        <w:keepLines w:val="0"/>
        <w:pageBreakBefore w:val="0"/>
        <w:widowControl w:val="0"/>
        <w:kinsoku/>
        <w:wordWrap/>
        <w:overflowPunct/>
        <w:topLinePunct w:val="0"/>
        <w:autoSpaceDE w:val="0"/>
        <w:autoSpaceDN w:val="0"/>
        <w:bidi w:val="0"/>
        <w:adjustRightInd w:val="0"/>
        <w:snapToGrid w:val="0"/>
        <w:spacing w:line="560" w:lineRule="exact"/>
        <w:ind w:right="0" w:firstLine="664" w:firstLineChars="200"/>
        <w:jc w:val="both"/>
        <w:textAlignment w:val="baseline"/>
        <w:rPr>
          <w:rFonts w:hint="default" w:ascii="仿宋_GB2312" w:hAnsi="仿宋_GB2312" w:eastAsia="仿宋_GB2312" w:cs="仿宋_GB2312"/>
          <w:color w:val="auto"/>
          <w:spacing w:val="6"/>
          <w:sz w:val="32"/>
          <w:szCs w:val="32"/>
          <w:lang w:val="en-US" w:eastAsia="zh-CN"/>
        </w:rPr>
        <w:sectPr>
          <w:headerReference r:id="rId18" w:type="default"/>
          <w:pgSz w:w="23811" w:h="16838" w:orient="landscape"/>
          <w:pgMar w:top="1800" w:right="1440" w:bottom="1800" w:left="1440" w:header="851" w:footer="992" w:gutter="0"/>
          <w:pgNumType w:fmt="numberInDash"/>
          <w:cols w:space="2106" w:num="2"/>
          <w:docGrid w:type="lines" w:linePitch="312" w:charSpace="0"/>
        </w:sectPr>
      </w:pPr>
      <w:r>
        <w:rPr>
          <w:rFonts w:hint="eastAsia" w:ascii="仿宋_GB2312" w:hAnsi="仿宋_GB2312" w:eastAsia="仿宋_GB2312" w:cs="仿宋_GB2312"/>
          <w:color w:val="auto"/>
          <w:spacing w:val="6"/>
          <w:sz w:val="32"/>
          <w:szCs w:val="32"/>
          <w:lang w:val="en-US" w:eastAsia="zh-CN"/>
        </w:rPr>
        <w:t>10 东北郊建筑垃圾环境污染监测井规划图</w:t>
      </w:r>
    </w:p>
    <w:p w14:paraId="432F3222">
      <w:pPr>
        <w:keepNext w:val="0"/>
        <w:keepLines w:val="0"/>
        <w:pageBreakBefore w:val="0"/>
        <w:widowControl w:val="0"/>
        <w:kinsoku/>
        <w:wordWrap/>
        <w:overflowPunct/>
        <w:topLinePunct w:val="0"/>
        <w:autoSpaceDE w:val="0"/>
        <w:autoSpaceDN w:val="0"/>
        <w:bidi w:val="0"/>
        <w:adjustRightInd w:val="0"/>
        <w:snapToGrid w:val="0"/>
        <w:spacing w:line="240" w:lineRule="auto"/>
        <w:ind w:right="0"/>
        <w:jc w:val="both"/>
        <w:textAlignment w:val="baseline"/>
        <w:rPr>
          <w:rFonts w:hint="default" w:ascii="仿宋_GB2312" w:hAnsi="仿宋_GB2312" w:eastAsia="仿宋_GB2312" w:cs="仿宋_GB2312"/>
          <w:color w:val="auto"/>
          <w:spacing w:val="6"/>
          <w:sz w:val="32"/>
          <w:szCs w:val="32"/>
          <w:lang w:val="en-US" w:eastAsia="zh-CN"/>
        </w:rPr>
        <w:sectPr>
          <w:pgSz w:w="23811" w:h="16838" w:orient="landscape"/>
          <w:pgMar w:top="1800" w:right="1440" w:bottom="1800" w:left="1440" w:header="851" w:footer="992" w:gutter="0"/>
          <w:pgNumType w:fmt="numberInDash"/>
          <w:cols w:equalWidth="0" w:num="2">
            <w:col w:w="10253" w:space="425"/>
            <w:col w:w="10253"/>
          </w:cols>
          <w:docGrid w:type="lines" w:linePitch="312" w:charSpace="0"/>
        </w:sectPr>
      </w:pPr>
      <w:r>
        <w:rPr>
          <w:rFonts w:hint="default" w:ascii="仿宋_GB2312" w:hAnsi="仿宋_GB2312" w:eastAsia="仿宋_GB2312" w:cs="仿宋_GB2312"/>
          <w:color w:val="auto"/>
          <w:spacing w:val="6"/>
          <w:sz w:val="32"/>
          <w:szCs w:val="32"/>
          <w:lang w:val="en-US" w:eastAsia="zh-CN"/>
        </w:rPr>
        <w:drawing>
          <wp:anchor distT="0" distB="0" distL="114300" distR="114300" simplePos="0" relativeHeight="251661312" behindDoc="1" locked="0" layoutInCell="1" allowOverlap="1">
            <wp:simplePos x="0" y="0"/>
            <wp:positionH relativeFrom="column">
              <wp:posOffset>6650355</wp:posOffset>
            </wp:positionH>
            <wp:positionV relativeFrom="paragraph">
              <wp:posOffset>-1132840</wp:posOffset>
            </wp:positionV>
            <wp:extent cx="7546975" cy="10673080"/>
            <wp:effectExtent l="0" t="0" r="15875" b="13970"/>
            <wp:wrapNone/>
            <wp:docPr id="4" name="图片 4" descr="02 张掖市区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2 张掖市区位"/>
                    <pic:cNvPicPr>
                      <a:picLocks noChangeAspect="1"/>
                    </pic:cNvPicPr>
                  </pic:nvPicPr>
                  <pic:blipFill>
                    <a:blip r:embed="rId23"/>
                    <a:stretch>
                      <a:fillRect/>
                    </a:stretch>
                  </pic:blipFill>
                  <pic:spPr>
                    <a:xfrm>
                      <a:off x="0" y="0"/>
                      <a:ext cx="7546975" cy="10673080"/>
                    </a:xfrm>
                    <a:prstGeom prst="rect">
                      <a:avLst/>
                    </a:prstGeom>
                  </pic:spPr>
                </pic:pic>
              </a:graphicData>
            </a:graphic>
          </wp:anchor>
        </w:drawing>
      </w:r>
      <w:r>
        <w:rPr>
          <w:rFonts w:hint="default" w:ascii="仿宋_GB2312" w:hAnsi="仿宋_GB2312" w:eastAsia="仿宋_GB2312" w:cs="仿宋_GB2312"/>
          <w:color w:val="auto"/>
          <w:spacing w:val="6"/>
          <w:sz w:val="32"/>
          <w:szCs w:val="32"/>
          <w:lang w:val="en-US" w:eastAsia="zh-CN"/>
        </w:rPr>
        <w:drawing>
          <wp:anchor distT="0" distB="0" distL="114300" distR="114300" simplePos="0" relativeHeight="251660288" behindDoc="1" locked="0" layoutInCell="1" allowOverlap="1">
            <wp:simplePos x="0" y="0"/>
            <wp:positionH relativeFrom="column">
              <wp:posOffset>-918210</wp:posOffset>
            </wp:positionH>
            <wp:positionV relativeFrom="paragraph">
              <wp:posOffset>-1130935</wp:posOffset>
            </wp:positionV>
            <wp:extent cx="7538085" cy="10661015"/>
            <wp:effectExtent l="0" t="0" r="5715" b="6985"/>
            <wp:wrapNone/>
            <wp:docPr id="2" name="图片 2" descr="01甘肃省区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1甘肃省区位"/>
                    <pic:cNvPicPr>
                      <a:picLocks noChangeAspect="1"/>
                    </pic:cNvPicPr>
                  </pic:nvPicPr>
                  <pic:blipFill>
                    <a:blip r:embed="rId24"/>
                    <a:stretch>
                      <a:fillRect/>
                    </a:stretch>
                  </pic:blipFill>
                  <pic:spPr>
                    <a:xfrm>
                      <a:off x="0" y="0"/>
                      <a:ext cx="7538085" cy="10661015"/>
                    </a:xfrm>
                    <a:prstGeom prst="rect">
                      <a:avLst/>
                    </a:prstGeom>
                  </pic:spPr>
                </pic:pic>
              </a:graphicData>
            </a:graphic>
          </wp:anchor>
        </w:drawing>
      </w:r>
    </w:p>
    <w:p w14:paraId="44005DE6">
      <w:pPr>
        <w:keepNext w:val="0"/>
        <w:keepLines w:val="0"/>
        <w:pageBreakBefore w:val="0"/>
        <w:widowControl w:val="0"/>
        <w:kinsoku/>
        <w:wordWrap/>
        <w:overflowPunct/>
        <w:topLinePunct w:val="0"/>
        <w:autoSpaceDE w:val="0"/>
        <w:autoSpaceDN w:val="0"/>
        <w:bidi w:val="0"/>
        <w:adjustRightInd w:val="0"/>
        <w:snapToGrid w:val="0"/>
        <w:spacing w:line="240" w:lineRule="auto"/>
        <w:ind w:right="0"/>
        <w:jc w:val="both"/>
        <w:textAlignment w:val="baseline"/>
        <w:rPr>
          <w:rFonts w:hint="default" w:ascii="仿宋_GB2312" w:hAnsi="仿宋_GB2312" w:eastAsia="仿宋_GB2312" w:cs="仿宋_GB2312"/>
          <w:color w:val="auto"/>
          <w:spacing w:val="6"/>
          <w:sz w:val="32"/>
          <w:szCs w:val="32"/>
          <w:lang w:val="en-US" w:eastAsia="zh-CN"/>
        </w:rPr>
        <w:sectPr>
          <w:pgSz w:w="23811" w:h="16838" w:orient="landscape"/>
          <w:pgMar w:top="1800" w:right="1440" w:bottom="1800" w:left="1440" w:header="851" w:footer="992" w:gutter="0"/>
          <w:pgNumType w:fmt="numberInDash"/>
          <w:cols w:equalWidth="0" w:num="2">
            <w:col w:w="10253" w:space="425"/>
            <w:col w:w="10253"/>
          </w:cols>
          <w:docGrid w:type="lines" w:linePitch="312" w:charSpace="0"/>
        </w:sectPr>
      </w:pPr>
      <w:r>
        <w:rPr>
          <w:rFonts w:hint="default" w:ascii="仿宋_GB2312" w:hAnsi="仿宋_GB2312" w:eastAsia="仿宋_GB2312" w:cs="仿宋_GB2312"/>
          <w:color w:val="auto"/>
          <w:spacing w:val="6"/>
          <w:sz w:val="32"/>
          <w:szCs w:val="32"/>
          <w:lang w:val="en-US" w:eastAsia="zh-CN"/>
        </w:rPr>
        <w:drawing>
          <wp:anchor distT="0" distB="0" distL="114300" distR="114300" simplePos="0" relativeHeight="251662336" behindDoc="1" locked="0" layoutInCell="1" allowOverlap="1">
            <wp:simplePos x="0" y="0"/>
            <wp:positionH relativeFrom="column">
              <wp:posOffset>-893445</wp:posOffset>
            </wp:positionH>
            <wp:positionV relativeFrom="paragraph">
              <wp:posOffset>-1129665</wp:posOffset>
            </wp:positionV>
            <wp:extent cx="7527925" cy="10656570"/>
            <wp:effectExtent l="0" t="0" r="15875" b="11430"/>
            <wp:wrapNone/>
            <wp:docPr id="5" name="图片 5" descr="03 甘州区生态区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3 甘州区生态区位图"/>
                    <pic:cNvPicPr>
                      <a:picLocks noChangeAspect="1"/>
                    </pic:cNvPicPr>
                  </pic:nvPicPr>
                  <pic:blipFill>
                    <a:blip r:embed="rId25"/>
                    <a:stretch>
                      <a:fillRect/>
                    </a:stretch>
                  </pic:blipFill>
                  <pic:spPr>
                    <a:xfrm>
                      <a:off x="0" y="0"/>
                      <a:ext cx="7527925" cy="10656570"/>
                    </a:xfrm>
                    <a:prstGeom prst="rect">
                      <a:avLst/>
                    </a:prstGeom>
                  </pic:spPr>
                </pic:pic>
              </a:graphicData>
            </a:graphic>
          </wp:anchor>
        </w:drawing>
      </w:r>
      <w:r>
        <w:rPr>
          <w:rFonts w:hint="default" w:ascii="仿宋_GB2312" w:hAnsi="仿宋_GB2312" w:eastAsia="仿宋_GB2312" w:cs="仿宋_GB2312"/>
          <w:color w:val="auto"/>
          <w:spacing w:val="6"/>
          <w:sz w:val="32"/>
          <w:szCs w:val="32"/>
          <w:lang w:val="en-US" w:eastAsia="zh-CN"/>
        </w:rPr>
        <w:drawing>
          <wp:anchor distT="0" distB="0" distL="114300" distR="114300" simplePos="0" relativeHeight="251663360" behindDoc="1" locked="0" layoutInCell="1" allowOverlap="1">
            <wp:simplePos x="0" y="0"/>
            <wp:positionH relativeFrom="column">
              <wp:posOffset>6675120</wp:posOffset>
            </wp:positionH>
            <wp:positionV relativeFrom="paragraph">
              <wp:posOffset>-1156970</wp:posOffset>
            </wp:positionV>
            <wp:extent cx="7508240" cy="10691495"/>
            <wp:effectExtent l="0" t="0" r="16510" b="14605"/>
            <wp:wrapNone/>
            <wp:docPr id="6" name="图片 6" descr="04 甘州区行政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4 甘州区行政区划图"/>
                    <pic:cNvPicPr>
                      <a:picLocks noChangeAspect="1"/>
                    </pic:cNvPicPr>
                  </pic:nvPicPr>
                  <pic:blipFill>
                    <a:blip r:embed="rId26"/>
                    <a:stretch>
                      <a:fillRect/>
                    </a:stretch>
                  </pic:blipFill>
                  <pic:spPr>
                    <a:xfrm>
                      <a:off x="0" y="0"/>
                      <a:ext cx="7508240" cy="10691495"/>
                    </a:xfrm>
                    <a:prstGeom prst="rect">
                      <a:avLst/>
                    </a:prstGeom>
                  </pic:spPr>
                </pic:pic>
              </a:graphicData>
            </a:graphic>
          </wp:anchor>
        </w:drawing>
      </w:r>
    </w:p>
    <w:p w14:paraId="6806C740">
      <w:pPr>
        <w:keepNext w:val="0"/>
        <w:keepLines w:val="0"/>
        <w:pageBreakBefore w:val="0"/>
        <w:widowControl w:val="0"/>
        <w:kinsoku/>
        <w:wordWrap/>
        <w:overflowPunct/>
        <w:topLinePunct w:val="0"/>
        <w:autoSpaceDE w:val="0"/>
        <w:autoSpaceDN w:val="0"/>
        <w:bidi w:val="0"/>
        <w:adjustRightInd w:val="0"/>
        <w:snapToGrid w:val="0"/>
        <w:spacing w:line="240" w:lineRule="auto"/>
        <w:ind w:right="0"/>
        <w:jc w:val="both"/>
        <w:textAlignment w:val="baseline"/>
        <w:rPr>
          <w:rFonts w:hint="default" w:ascii="仿宋_GB2312" w:hAnsi="仿宋_GB2312" w:eastAsia="仿宋_GB2312" w:cs="仿宋_GB2312"/>
          <w:color w:val="auto"/>
          <w:spacing w:val="6"/>
          <w:sz w:val="32"/>
          <w:szCs w:val="32"/>
          <w:lang w:val="en-US" w:eastAsia="zh-CN"/>
        </w:rPr>
        <w:sectPr>
          <w:pgSz w:w="23811" w:h="16838" w:orient="landscape"/>
          <w:pgMar w:top="1800" w:right="1440" w:bottom="1800" w:left="1440" w:header="851" w:footer="992" w:gutter="0"/>
          <w:pgNumType w:fmt="numberInDash"/>
          <w:cols w:equalWidth="0" w:num="2">
            <w:col w:w="10253" w:space="425"/>
            <w:col w:w="10253"/>
          </w:cols>
          <w:docGrid w:type="lines" w:linePitch="312" w:charSpace="0"/>
        </w:sectPr>
      </w:pPr>
      <w:r>
        <w:rPr>
          <w:rFonts w:hint="default" w:ascii="仿宋_GB2312" w:hAnsi="仿宋_GB2312" w:eastAsia="仿宋_GB2312" w:cs="仿宋_GB2312"/>
          <w:color w:val="auto"/>
          <w:spacing w:val="6"/>
          <w:sz w:val="32"/>
          <w:szCs w:val="32"/>
          <w:lang w:val="en-US" w:eastAsia="zh-CN"/>
        </w:rPr>
        <w:drawing>
          <wp:anchor distT="0" distB="0" distL="114300" distR="114300" simplePos="0" relativeHeight="251665408" behindDoc="1" locked="0" layoutInCell="1" allowOverlap="1">
            <wp:simplePos x="0" y="0"/>
            <wp:positionH relativeFrom="column">
              <wp:posOffset>6668135</wp:posOffset>
            </wp:positionH>
            <wp:positionV relativeFrom="paragraph">
              <wp:posOffset>-1129665</wp:posOffset>
            </wp:positionV>
            <wp:extent cx="7527925" cy="10653395"/>
            <wp:effectExtent l="0" t="0" r="15875" b="14605"/>
            <wp:wrapNone/>
            <wp:docPr id="8" name="图片 8" descr="06 设施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06 设施现状图"/>
                    <pic:cNvPicPr>
                      <a:picLocks noChangeAspect="1"/>
                    </pic:cNvPicPr>
                  </pic:nvPicPr>
                  <pic:blipFill>
                    <a:blip r:embed="rId27"/>
                    <a:stretch>
                      <a:fillRect/>
                    </a:stretch>
                  </pic:blipFill>
                  <pic:spPr>
                    <a:xfrm>
                      <a:off x="0" y="0"/>
                      <a:ext cx="7527925" cy="10653395"/>
                    </a:xfrm>
                    <a:prstGeom prst="rect">
                      <a:avLst/>
                    </a:prstGeom>
                  </pic:spPr>
                </pic:pic>
              </a:graphicData>
            </a:graphic>
          </wp:anchor>
        </w:drawing>
      </w:r>
      <w:r>
        <w:rPr>
          <w:rFonts w:hint="default" w:ascii="仿宋_GB2312" w:hAnsi="仿宋_GB2312" w:eastAsia="仿宋_GB2312" w:cs="仿宋_GB2312"/>
          <w:color w:val="auto"/>
          <w:spacing w:val="6"/>
          <w:sz w:val="32"/>
          <w:szCs w:val="32"/>
          <w:lang w:val="en-US" w:eastAsia="zh-CN"/>
        </w:rPr>
        <w:drawing>
          <wp:anchor distT="0" distB="0" distL="114300" distR="114300" simplePos="0" relativeHeight="251664384" behindDoc="1" locked="0" layoutInCell="1" allowOverlap="1">
            <wp:simplePos x="0" y="0"/>
            <wp:positionH relativeFrom="column">
              <wp:posOffset>-892810</wp:posOffset>
            </wp:positionH>
            <wp:positionV relativeFrom="paragraph">
              <wp:posOffset>-1132205</wp:posOffset>
            </wp:positionV>
            <wp:extent cx="7538085" cy="10673080"/>
            <wp:effectExtent l="0" t="0" r="5715" b="13970"/>
            <wp:wrapNone/>
            <wp:docPr id="7" name="图片 7" descr="05 规划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5 规划范围图"/>
                    <pic:cNvPicPr>
                      <a:picLocks noChangeAspect="1"/>
                    </pic:cNvPicPr>
                  </pic:nvPicPr>
                  <pic:blipFill>
                    <a:blip r:embed="rId28"/>
                    <a:stretch>
                      <a:fillRect/>
                    </a:stretch>
                  </pic:blipFill>
                  <pic:spPr>
                    <a:xfrm>
                      <a:off x="0" y="0"/>
                      <a:ext cx="7538085" cy="10673080"/>
                    </a:xfrm>
                    <a:prstGeom prst="rect">
                      <a:avLst/>
                    </a:prstGeom>
                  </pic:spPr>
                </pic:pic>
              </a:graphicData>
            </a:graphic>
          </wp:anchor>
        </w:drawing>
      </w:r>
    </w:p>
    <w:p w14:paraId="7814AE77">
      <w:pPr>
        <w:keepNext w:val="0"/>
        <w:keepLines w:val="0"/>
        <w:pageBreakBefore w:val="0"/>
        <w:widowControl w:val="0"/>
        <w:kinsoku/>
        <w:wordWrap/>
        <w:overflowPunct/>
        <w:topLinePunct w:val="0"/>
        <w:autoSpaceDE w:val="0"/>
        <w:autoSpaceDN w:val="0"/>
        <w:bidi w:val="0"/>
        <w:adjustRightInd w:val="0"/>
        <w:snapToGrid w:val="0"/>
        <w:spacing w:line="240" w:lineRule="auto"/>
        <w:ind w:right="0"/>
        <w:jc w:val="both"/>
        <w:textAlignment w:val="baseline"/>
        <w:rPr>
          <w:rFonts w:hint="default" w:ascii="仿宋_GB2312" w:hAnsi="仿宋_GB2312" w:eastAsia="仿宋_GB2312" w:cs="仿宋_GB2312"/>
          <w:color w:val="auto"/>
          <w:spacing w:val="6"/>
          <w:sz w:val="32"/>
          <w:szCs w:val="32"/>
          <w:lang w:val="en-US" w:eastAsia="zh-CN"/>
        </w:rPr>
        <w:sectPr>
          <w:pgSz w:w="23811" w:h="16838" w:orient="landscape"/>
          <w:pgMar w:top="1800" w:right="1440" w:bottom="1800" w:left="1440" w:header="851" w:footer="992" w:gutter="0"/>
          <w:pgNumType w:fmt="numberInDash"/>
          <w:cols w:equalWidth="0" w:num="2">
            <w:col w:w="10253" w:space="425"/>
            <w:col w:w="10253"/>
          </w:cols>
          <w:docGrid w:type="lines" w:linePitch="312" w:charSpace="0"/>
        </w:sectPr>
      </w:pPr>
      <w:bookmarkStart w:id="645" w:name="_GoBack"/>
      <w:r>
        <w:rPr>
          <w:rFonts w:hint="default" w:ascii="仿宋_GB2312" w:hAnsi="仿宋_GB2312" w:eastAsia="仿宋_GB2312" w:cs="仿宋_GB2312"/>
          <w:color w:val="auto"/>
          <w:spacing w:val="6"/>
          <w:sz w:val="32"/>
          <w:szCs w:val="32"/>
          <w:lang w:val="en-US" w:eastAsia="zh-CN"/>
        </w:rPr>
        <w:drawing>
          <wp:anchor distT="0" distB="0" distL="114300" distR="114300" simplePos="0" relativeHeight="251666432" behindDoc="1" locked="0" layoutInCell="1" allowOverlap="1">
            <wp:simplePos x="0" y="0"/>
            <wp:positionH relativeFrom="column">
              <wp:posOffset>-901700</wp:posOffset>
            </wp:positionH>
            <wp:positionV relativeFrom="paragraph">
              <wp:posOffset>-1132840</wp:posOffset>
            </wp:positionV>
            <wp:extent cx="7527925" cy="10673080"/>
            <wp:effectExtent l="0" t="0" r="15875" b="13970"/>
            <wp:wrapNone/>
            <wp:docPr id="9" name="图片 9" descr="E:/李海玲业务工作文件夹/建筑垃圾污染防治规划/新建文件夹/07 收运设施规划图.jpg07 收运设施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李海玲业务工作文件夹/建筑垃圾污染防治规划/新建文件夹/07 收运设施规划图.jpg07 收运设施规划图"/>
                    <pic:cNvPicPr>
                      <a:picLocks noChangeAspect="1"/>
                    </pic:cNvPicPr>
                  </pic:nvPicPr>
                  <pic:blipFill>
                    <a:blip r:embed="rId29"/>
                    <a:srcRect l="131" r="131"/>
                    <a:stretch>
                      <a:fillRect/>
                    </a:stretch>
                  </pic:blipFill>
                  <pic:spPr>
                    <a:xfrm>
                      <a:off x="0" y="0"/>
                      <a:ext cx="7527925" cy="10673080"/>
                    </a:xfrm>
                    <a:prstGeom prst="rect">
                      <a:avLst/>
                    </a:prstGeom>
                  </pic:spPr>
                </pic:pic>
              </a:graphicData>
            </a:graphic>
          </wp:anchor>
        </w:drawing>
      </w:r>
      <w:bookmarkEnd w:id="645"/>
      <w:r>
        <w:rPr>
          <w:rFonts w:hint="default" w:ascii="仿宋_GB2312" w:hAnsi="仿宋_GB2312" w:eastAsia="仿宋_GB2312" w:cs="仿宋_GB2312"/>
          <w:color w:val="auto"/>
          <w:spacing w:val="6"/>
          <w:sz w:val="32"/>
          <w:szCs w:val="32"/>
          <w:lang w:val="en-US" w:eastAsia="zh-CN"/>
        </w:rPr>
        <w:drawing>
          <wp:anchor distT="0" distB="0" distL="114300" distR="114300" simplePos="0" relativeHeight="251667456" behindDoc="1" locked="0" layoutInCell="1" allowOverlap="1">
            <wp:simplePos x="0" y="0"/>
            <wp:positionH relativeFrom="column">
              <wp:posOffset>6635750</wp:posOffset>
            </wp:positionH>
            <wp:positionV relativeFrom="paragraph">
              <wp:posOffset>-1140460</wp:posOffset>
            </wp:positionV>
            <wp:extent cx="7557135" cy="10695305"/>
            <wp:effectExtent l="0" t="0" r="5715" b="10795"/>
            <wp:wrapNone/>
            <wp:docPr id="10" name="图片 10" descr="08 堆倒场现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8 堆倒场现状"/>
                    <pic:cNvPicPr>
                      <a:picLocks noChangeAspect="1"/>
                    </pic:cNvPicPr>
                  </pic:nvPicPr>
                  <pic:blipFill>
                    <a:blip r:embed="rId30"/>
                    <a:stretch>
                      <a:fillRect/>
                    </a:stretch>
                  </pic:blipFill>
                  <pic:spPr>
                    <a:xfrm>
                      <a:off x="0" y="0"/>
                      <a:ext cx="7557135" cy="10695305"/>
                    </a:xfrm>
                    <a:prstGeom prst="rect">
                      <a:avLst/>
                    </a:prstGeom>
                  </pic:spPr>
                </pic:pic>
              </a:graphicData>
            </a:graphic>
          </wp:anchor>
        </w:drawing>
      </w:r>
    </w:p>
    <w:p w14:paraId="136FCCE1">
      <w:pPr>
        <w:keepNext w:val="0"/>
        <w:keepLines w:val="0"/>
        <w:pageBreakBefore w:val="0"/>
        <w:widowControl w:val="0"/>
        <w:kinsoku/>
        <w:wordWrap/>
        <w:overflowPunct/>
        <w:topLinePunct w:val="0"/>
        <w:autoSpaceDE w:val="0"/>
        <w:autoSpaceDN w:val="0"/>
        <w:bidi w:val="0"/>
        <w:adjustRightInd w:val="0"/>
        <w:snapToGrid w:val="0"/>
        <w:spacing w:line="240" w:lineRule="auto"/>
        <w:ind w:right="0"/>
        <w:jc w:val="both"/>
        <w:textAlignment w:val="baseline"/>
        <w:rPr>
          <w:rFonts w:hint="default" w:ascii="仿宋_GB2312" w:hAnsi="仿宋_GB2312" w:eastAsia="仿宋_GB2312" w:cs="仿宋_GB2312"/>
          <w:color w:val="auto"/>
          <w:spacing w:val="6"/>
          <w:sz w:val="32"/>
          <w:szCs w:val="32"/>
          <w:lang w:val="en-US" w:eastAsia="zh-CN"/>
        </w:rPr>
      </w:pPr>
      <w:r>
        <w:rPr>
          <w:rFonts w:hint="default" w:ascii="仿宋_GB2312" w:hAnsi="仿宋_GB2312" w:eastAsia="仿宋_GB2312" w:cs="仿宋_GB2312"/>
          <w:color w:val="auto"/>
          <w:spacing w:val="6"/>
          <w:sz w:val="32"/>
          <w:szCs w:val="32"/>
          <w:lang w:val="en-US" w:eastAsia="zh-CN"/>
        </w:rPr>
        <w:drawing>
          <wp:anchor distT="0" distB="0" distL="114300" distR="114300" simplePos="0" relativeHeight="251669504" behindDoc="1" locked="0" layoutInCell="1" allowOverlap="1">
            <wp:simplePos x="0" y="0"/>
            <wp:positionH relativeFrom="column">
              <wp:posOffset>6660515</wp:posOffset>
            </wp:positionH>
            <wp:positionV relativeFrom="paragraph">
              <wp:posOffset>-1129665</wp:posOffset>
            </wp:positionV>
            <wp:extent cx="7535545" cy="10664825"/>
            <wp:effectExtent l="0" t="0" r="8255" b="3175"/>
            <wp:wrapNone/>
            <wp:docPr id="12" name="图片 12" descr="E:/李海玲业务工作文件夹/建筑垃圾污染防治规划/新建文件夹/10 监测井.jpg10 监测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李海玲业务工作文件夹/建筑垃圾污染防治规划/新建文件夹/10 监测井.jpg10 监测井"/>
                    <pic:cNvPicPr>
                      <a:picLocks noChangeAspect="1"/>
                    </pic:cNvPicPr>
                  </pic:nvPicPr>
                  <pic:blipFill>
                    <a:blip r:embed="rId31"/>
                    <a:srcRect l="36" r="36"/>
                    <a:stretch>
                      <a:fillRect/>
                    </a:stretch>
                  </pic:blipFill>
                  <pic:spPr>
                    <a:xfrm>
                      <a:off x="0" y="0"/>
                      <a:ext cx="7535545" cy="10664825"/>
                    </a:xfrm>
                    <a:prstGeom prst="rect">
                      <a:avLst/>
                    </a:prstGeom>
                  </pic:spPr>
                </pic:pic>
              </a:graphicData>
            </a:graphic>
          </wp:anchor>
        </w:drawing>
      </w:r>
      <w:r>
        <w:rPr>
          <w:rFonts w:hint="default" w:ascii="仿宋_GB2312" w:hAnsi="仿宋_GB2312" w:eastAsia="仿宋_GB2312" w:cs="仿宋_GB2312"/>
          <w:color w:val="auto"/>
          <w:spacing w:val="6"/>
          <w:sz w:val="32"/>
          <w:szCs w:val="32"/>
          <w:lang w:val="en-US" w:eastAsia="zh-CN"/>
        </w:rPr>
        <w:drawing>
          <wp:anchor distT="0" distB="0" distL="114300" distR="114300" simplePos="0" relativeHeight="251668480" behindDoc="1" locked="0" layoutInCell="1" allowOverlap="1">
            <wp:simplePos x="0" y="0"/>
            <wp:positionH relativeFrom="column">
              <wp:posOffset>-901065</wp:posOffset>
            </wp:positionH>
            <wp:positionV relativeFrom="paragraph">
              <wp:posOffset>-1129665</wp:posOffset>
            </wp:positionV>
            <wp:extent cx="7557770" cy="10676890"/>
            <wp:effectExtent l="0" t="0" r="5080" b="10160"/>
            <wp:wrapNone/>
            <wp:docPr id="11" name="图片 11" descr="09 近期建设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9 近期建设图"/>
                    <pic:cNvPicPr>
                      <a:picLocks noChangeAspect="1"/>
                    </pic:cNvPicPr>
                  </pic:nvPicPr>
                  <pic:blipFill>
                    <a:blip r:embed="rId32"/>
                    <a:stretch>
                      <a:fillRect/>
                    </a:stretch>
                  </pic:blipFill>
                  <pic:spPr>
                    <a:xfrm>
                      <a:off x="0" y="0"/>
                      <a:ext cx="7557770" cy="10676890"/>
                    </a:xfrm>
                    <a:prstGeom prst="rect">
                      <a:avLst/>
                    </a:prstGeom>
                  </pic:spPr>
                </pic:pic>
              </a:graphicData>
            </a:graphic>
          </wp:anchor>
        </w:drawing>
      </w:r>
    </w:p>
    <w:p w14:paraId="00AA5932"/>
    <w:p w14:paraId="4DE93CE5"/>
    <w:p w14:paraId="0146A3EE"/>
    <w:p w14:paraId="36F6833B"/>
    <w:p w14:paraId="61F48C5E"/>
    <w:p w14:paraId="20A28E44"/>
    <w:p w14:paraId="39AA1F8C"/>
    <w:p w14:paraId="0087453C"/>
    <w:p w14:paraId="76C1B22E"/>
    <w:p w14:paraId="7C70DE33"/>
    <w:p w14:paraId="62F055E3"/>
    <w:p w14:paraId="1453792E"/>
    <w:p w14:paraId="452584AA"/>
    <w:p w14:paraId="025D036D"/>
    <w:p w14:paraId="1384061B"/>
    <w:p w14:paraId="3AA63250">
      <w:pPr>
        <w:sectPr>
          <w:pgSz w:w="23811" w:h="16838" w:orient="landscape"/>
          <w:pgMar w:top="1800" w:right="1440" w:bottom="1800" w:left="1440" w:header="851" w:footer="992" w:gutter="0"/>
          <w:pgNumType w:fmt="numberInDash"/>
          <w:cols w:equalWidth="0" w:num="2">
            <w:col w:w="10253" w:space="425"/>
            <w:col w:w="10253"/>
          </w:cols>
          <w:docGrid w:type="lines" w:linePitch="312" w:charSpace="0"/>
        </w:sectPr>
      </w:pPr>
    </w:p>
    <w:p w14:paraId="1A9D3808">
      <w:pPr>
        <w:rPr>
          <w:rFonts w:hint="eastAsia" w:eastAsia="宋体"/>
          <w:lang w:eastAsia="zh-CN"/>
        </w:rPr>
      </w:pPr>
      <w:r>
        <w:rPr>
          <w:rFonts w:hint="eastAsia" w:eastAsia="宋体"/>
          <w:lang w:eastAsia="zh-CN"/>
        </w:rPr>
        <w:drawing>
          <wp:anchor distT="0" distB="0" distL="114300" distR="114300" simplePos="0" relativeHeight="251671552" behindDoc="1" locked="0" layoutInCell="1" allowOverlap="1">
            <wp:simplePos x="0" y="0"/>
            <wp:positionH relativeFrom="column">
              <wp:posOffset>-896620</wp:posOffset>
            </wp:positionH>
            <wp:positionV relativeFrom="paragraph">
              <wp:posOffset>-1155065</wp:posOffset>
            </wp:positionV>
            <wp:extent cx="15153640" cy="10715625"/>
            <wp:effectExtent l="0" t="0" r="10160" b="9525"/>
            <wp:wrapNone/>
            <wp:docPr id="14" name="图片 14" descr="新版封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新版封底"/>
                    <pic:cNvPicPr>
                      <a:picLocks noChangeAspect="1"/>
                    </pic:cNvPicPr>
                  </pic:nvPicPr>
                  <pic:blipFill>
                    <a:blip r:embed="rId33"/>
                    <a:stretch>
                      <a:fillRect/>
                    </a:stretch>
                  </pic:blipFill>
                  <pic:spPr>
                    <a:xfrm>
                      <a:off x="0" y="0"/>
                      <a:ext cx="15153640" cy="10715625"/>
                    </a:xfrm>
                    <a:prstGeom prst="rect">
                      <a:avLst/>
                    </a:prstGeom>
                  </pic:spPr>
                </pic:pic>
              </a:graphicData>
            </a:graphic>
          </wp:anchor>
        </w:drawing>
      </w:r>
    </w:p>
    <w:sectPr>
      <w:headerReference r:id="rId19" w:type="default"/>
      <w:footerReference r:id="rId20" w:type="default"/>
      <w:pgSz w:w="23811" w:h="16838" w:orient="landscape"/>
      <w:pgMar w:top="1800" w:right="1440" w:bottom="1800" w:left="1440" w:header="851" w:footer="992" w:gutter="0"/>
      <w:pgNumType w:fmt="numberInDash"/>
      <w:cols w:equalWidth="0" w:num="2">
        <w:col w:w="10253" w:space="425"/>
        <w:col w:w="10253"/>
      </w:cols>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447A05C-947F-47D1-A7DB-F3EC3F472797}"/>
  </w:font>
  <w:font w:name="黑体">
    <w:panose1 w:val="02010609060101010101"/>
    <w:charset w:val="86"/>
    <w:family w:val="auto"/>
    <w:pitch w:val="default"/>
    <w:sig w:usb0="800002BF" w:usb1="38CF7CFA" w:usb2="00000016" w:usb3="00000000" w:csb0="00040001" w:csb1="00000000"/>
    <w:embedRegular r:id="rId2" w:fontKey="{AC44801D-FBCF-4F23-BDEF-707BD1A7055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embedRegular r:id="rId3" w:fontKey="{3457E6A6-7EDC-442A-812D-3E14D6141A6B}"/>
  </w:font>
  <w:font w:name="FangSong_GB2312">
    <w:altName w:val="仿宋_GB2312"/>
    <w:panose1 w:val="02010609030101010101"/>
    <w:charset w:val="86"/>
    <w:family w:val="auto"/>
    <w:pitch w:val="default"/>
    <w:sig w:usb0="00000000" w:usb1="00000000" w:usb2="00000000" w:usb3="00000000" w:csb0="00040000" w:csb1="00000000"/>
  </w:font>
  <w:font w:name="Segoe UI">
    <w:panose1 w:val="020B0502040204020203"/>
    <w:charset w:val="00"/>
    <w:family w:val="auto"/>
    <w:pitch w:val="default"/>
    <w:sig w:usb0="E4002EFF" w:usb1="C000E47F" w:usb2="00000009" w:usb3="00000000" w:csb0="200001FF" w:csb1="00000000"/>
  </w:font>
  <w:font w:name="楷体_GB2312">
    <w:panose1 w:val="02010609030101010101"/>
    <w:charset w:val="86"/>
    <w:family w:val="auto"/>
    <w:pitch w:val="default"/>
    <w:sig w:usb0="00000001" w:usb1="080E0000" w:usb2="00000000" w:usb3="00000000" w:csb0="00040000" w:csb1="00000000"/>
    <w:embedRegular r:id="rId4" w:fontKey="{070BA07F-74A1-4BF8-940B-31235D5731F3}"/>
  </w:font>
  <w:font w:name="楷体">
    <w:panose1 w:val="02010609060101010101"/>
    <w:charset w:val="86"/>
    <w:family w:val="auto"/>
    <w:pitch w:val="default"/>
    <w:sig w:usb0="800002BF" w:usb1="38CF7CFA" w:usb2="00000016" w:usb3="00000000" w:csb0="00040001" w:csb1="00000000"/>
    <w:embedRegular r:id="rId5" w:fontKey="{844744A2-67A1-40AC-B27E-FC6C77E7801E}"/>
  </w:font>
  <w:font w:name="仿宋">
    <w:panose1 w:val="02010609060101010101"/>
    <w:charset w:val="86"/>
    <w:family w:val="auto"/>
    <w:pitch w:val="default"/>
    <w:sig w:usb0="800002BF" w:usb1="38CF7CFA" w:usb2="00000016" w:usb3="00000000" w:csb0="00040001" w:csb1="00000000"/>
    <w:embedRegular r:id="rId6" w:fontKey="{6F42CBB1-9CDF-4192-9D82-F11A96EA0C4C}"/>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EA1DA">
    <w:pPr>
      <w:spacing w:line="179" w:lineRule="auto"/>
      <w:ind w:left="4120"/>
      <w:rPr>
        <w:rFonts w:ascii="Times New Roman" w:hAnsi="Times New Roman" w:eastAsia="Times New Roman" w:cs="Times New Roman"/>
        <w:sz w:val="24"/>
        <w:szCs w:val="24"/>
      </w:rPr>
    </w:pPr>
    <w:r>
      <w:rPr>
        <w:sz w:val="24"/>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8F6273">
                          <w:pPr>
                            <w:pStyle w:val="5"/>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w:t>
                          </w:r>
                          <w:r>
                            <w:rPr>
                              <w:rFonts w:hint="eastAsia" w:asciiTheme="majorEastAsia" w:hAnsiTheme="majorEastAsia" w:eastAsiaTheme="majorEastAsia" w:cstheme="maj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88F6273">
                    <w:pPr>
                      <w:pStyle w:val="5"/>
                    </w:pPr>
                    <w:r>
                      <w:rPr>
                        <w:rFonts w:hint="eastAsia" w:asciiTheme="majorEastAsia" w:hAnsiTheme="majorEastAsia" w:eastAsiaTheme="majorEastAsia" w:cstheme="majorEastAsia"/>
                        <w:sz w:val="28"/>
                        <w:szCs w:val="28"/>
                      </w:rPr>
                      <w:fldChar w:fldCharType="begin"/>
                    </w:r>
                    <w:r>
                      <w:rPr>
                        <w:rFonts w:hint="eastAsia" w:asciiTheme="majorEastAsia" w:hAnsiTheme="majorEastAsia" w:eastAsiaTheme="majorEastAsia" w:cstheme="majorEastAsia"/>
                        <w:sz w:val="28"/>
                        <w:szCs w:val="28"/>
                      </w:rPr>
                      <w:instrText xml:space="preserve"> PAGE  \* MERGEFORMAT </w:instrText>
                    </w:r>
                    <w:r>
                      <w:rPr>
                        <w:rFonts w:hint="eastAsia" w:asciiTheme="majorEastAsia" w:hAnsiTheme="majorEastAsia" w:eastAsiaTheme="majorEastAsia" w:cstheme="majorEastAsia"/>
                        <w:sz w:val="28"/>
                        <w:szCs w:val="28"/>
                      </w:rPr>
                      <w:fldChar w:fldCharType="separate"/>
                    </w:r>
                    <w:r>
                      <w:rPr>
                        <w:rFonts w:hint="eastAsia" w:asciiTheme="majorEastAsia" w:hAnsiTheme="majorEastAsia" w:eastAsiaTheme="majorEastAsia" w:cstheme="majorEastAsia"/>
                        <w:sz w:val="28"/>
                        <w:szCs w:val="28"/>
                      </w:rPr>
                      <w:t>2</w:t>
                    </w:r>
                    <w:r>
                      <w:rPr>
                        <w:rFonts w:hint="eastAsia" w:asciiTheme="majorEastAsia" w:hAnsiTheme="majorEastAsia" w:eastAsiaTheme="majorEastAsia" w:cstheme="majorEastAsia"/>
                        <w:sz w:val="28"/>
                        <w:szCs w:val="2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EE6C3">
    <w:pPr>
      <w:spacing w:line="179" w:lineRule="auto"/>
      <w:ind w:left="4120"/>
      <w:rPr>
        <w:rFonts w:ascii="Times New Roman" w:hAnsi="Times New Roman" w:eastAsia="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89FD69">
    <w:pPr>
      <w:pStyle w:val="6"/>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甘州区城市建筑垃圾污染防治规划（2025-2035年）                                                                                                                                                     目录</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432B3">
    <w:pPr>
      <w:pStyle w:val="6"/>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甘州区城市建筑垃圾污染防治规划（2025-2035年）                                                                                                                                                  监督管理</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31B43">
    <w:pPr>
      <w:pStyle w:val="6"/>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甘州区城市建筑垃圾污染防治规划（2025-2035年）                                                                                                                                        近期规划及实施计划</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8CBB8">
    <w:pPr>
      <w:pStyle w:val="6"/>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甘州区城市建筑垃圾污染防治规划（2025-2035年）                                                                                                                                              规划实施保障</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A46924">
    <w:pPr>
      <w:pStyle w:val="6"/>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甘州区城市建筑垃圾污染防治规划（2025-2035年）                                                                                                                                                     附图</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CA4A5">
    <w:pPr>
      <w:pStyle w:val="6"/>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58C31">
    <w:pPr>
      <w:pStyle w:val="6"/>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甘州区城市建筑垃圾污染防治规划（2025-2035年）                                                                                                                                                     总则</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50137">
    <w:pPr>
      <w:pStyle w:val="6"/>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甘州区城市建筑垃圾污染防治规划（2025-2035年）                                                                                                                                        现状分析与规模预测</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4B6A5">
    <w:pPr>
      <w:pStyle w:val="6"/>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甘州区城市建筑垃圾污染防治规划（2025-2035年）                                                                                                                                                  规划目标</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6664F">
    <w:pPr>
      <w:pStyle w:val="6"/>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甘州区城市建筑垃圾污染防治规划（2025-2035年）                                                                                                                                                  源头减量</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5D11C">
    <w:pPr>
      <w:pStyle w:val="6"/>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甘州区城市建筑垃圾污染防治规划（2025-2035年）                                                                                                                                                  收集运输</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6035F">
    <w:pPr>
      <w:pStyle w:val="6"/>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甘州区城市建筑垃圾污染防治规划（2025-2035年）                                                                                                                                                利用及处理</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64841">
    <w:pPr>
      <w:pStyle w:val="6"/>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甘州区城市建筑垃圾污染防治规划（2025-2035年）                                                                                                                                                  存量治理</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44B59A">
    <w:pPr>
      <w:pStyle w:val="6"/>
      <w:rPr>
        <w:rFonts w:hint="default" w:ascii="仿宋_GB2312" w:hAnsi="仿宋_GB2312" w:eastAsia="仿宋_GB2312" w:cs="仿宋_GB2312"/>
        <w:sz w:val="21"/>
        <w:szCs w:val="21"/>
        <w:lang w:val="en-US" w:eastAsia="zh-CN"/>
      </w:rPr>
    </w:pPr>
    <w:r>
      <w:rPr>
        <w:rFonts w:hint="eastAsia" w:ascii="仿宋_GB2312" w:hAnsi="仿宋_GB2312" w:eastAsia="仿宋_GB2312" w:cs="仿宋_GB2312"/>
        <w:sz w:val="21"/>
        <w:szCs w:val="21"/>
        <w:lang w:val="en-US" w:eastAsia="zh-CN"/>
      </w:rPr>
      <w:t>甘州区城市建筑垃圾污染防治规划（2025-2035年）                                                                                                                                        环境影响与污染防治</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5D26542"/>
    <w:rsid w:val="018A0E13"/>
    <w:rsid w:val="05983434"/>
    <w:rsid w:val="07EF61D4"/>
    <w:rsid w:val="095074C6"/>
    <w:rsid w:val="0BE121AC"/>
    <w:rsid w:val="0CD87D21"/>
    <w:rsid w:val="0D166265"/>
    <w:rsid w:val="0D731909"/>
    <w:rsid w:val="118C7029"/>
    <w:rsid w:val="11E86C12"/>
    <w:rsid w:val="1208521E"/>
    <w:rsid w:val="1249421E"/>
    <w:rsid w:val="128D4685"/>
    <w:rsid w:val="12EE629B"/>
    <w:rsid w:val="141C6B6F"/>
    <w:rsid w:val="159502B1"/>
    <w:rsid w:val="15D26542"/>
    <w:rsid w:val="1A793E50"/>
    <w:rsid w:val="1D250D44"/>
    <w:rsid w:val="1DA97911"/>
    <w:rsid w:val="1F6819CB"/>
    <w:rsid w:val="1FDC04D4"/>
    <w:rsid w:val="2082467B"/>
    <w:rsid w:val="2131302A"/>
    <w:rsid w:val="239A1F85"/>
    <w:rsid w:val="281C7CC4"/>
    <w:rsid w:val="287E31E4"/>
    <w:rsid w:val="28CC5363"/>
    <w:rsid w:val="290B3BDD"/>
    <w:rsid w:val="2E5972A7"/>
    <w:rsid w:val="2EC825D9"/>
    <w:rsid w:val="2F526229"/>
    <w:rsid w:val="2F6A2563"/>
    <w:rsid w:val="2FA901C9"/>
    <w:rsid w:val="3099192F"/>
    <w:rsid w:val="3168491E"/>
    <w:rsid w:val="31D219BD"/>
    <w:rsid w:val="33282091"/>
    <w:rsid w:val="33720D4E"/>
    <w:rsid w:val="345614B9"/>
    <w:rsid w:val="361702A1"/>
    <w:rsid w:val="37627756"/>
    <w:rsid w:val="378F7B65"/>
    <w:rsid w:val="3A1B3764"/>
    <w:rsid w:val="3A7F02E2"/>
    <w:rsid w:val="3B0E5C90"/>
    <w:rsid w:val="3ED05C4B"/>
    <w:rsid w:val="3EE97988"/>
    <w:rsid w:val="40971119"/>
    <w:rsid w:val="41CE268F"/>
    <w:rsid w:val="428F1404"/>
    <w:rsid w:val="43A36A72"/>
    <w:rsid w:val="441769D5"/>
    <w:rsid w:val="4543011F"/>
    <w:rsid w:val="4603181D"/>
    <w:rsid w:val="46116CAC"/>
    <w:rsid w:val="46985B8B"/>
    <w:rsid w:val="486E2B47"/>
    <w:rsid w:val="48BC6348"/>
    <w:rsid w:val="4A311EF2"/>
    <w:rsid w:val="4B547C94"/>
    <w:rsid w:val="4BA72FFB"/>
    <w:rsid w:val="4BA8370E"/>
    <w:rsid w:val="4C0C29AF"/>
    <w:rsid w:val="4DBD1468"/>
    <w:rsid w:val="51E12395"/>
    <w:rsid w:val="522D63D9"/>
    <w:rsid w:val="52A86086"/>
    <w:rsid w:val="56964A83"/>
    <w:rsid w:val="588A0425"/>
    <w:rsid w:val="5B591331"/>
    <w:rsid w:val="5F7A2D34"/>
    <w:rsid w:val="623758B1"/>
    <w:rsid w:val="63695880"/>
    <w:rsid w:val="666425FC"/>
    <w:rsid w:val="698E14F4"/>
    <w:rsid w:val="6B821EDD"/>
    <w:rsid w:val="6E60497C"/>
    <w:rsid w:val="7006587B"/>
    <w:rsid w:val="709305B9"/>
    <w:rsid w:val="71A82FBE"/>
    <w:rsid w:val="781B24C2"/>
    <w:rsid w:val="78793164"/>
    <w:rsid w:val="793265D3"/>
    <w:rsid w:val="7991180A"/>
    <w:rsid w:val="7B5D27E9"/>
    <w:rsid w:val="7EEC75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1">
    <w:name w:val="Default Paragraph Font"/>
    <w:semiHidden/>
    <w:qFormat/>
    <w:uiPriority w:val="0"/>
    <w:rPr>
      <w:rFonts w:ascii="Calibri" w:hAnsi="Calibri" w:eastAsia="仿宋_GB2312"/>
      <w:sz w:val="32"/>
    </w:rPr>
  </w:style>
  <w:style w:type="table" w:default="1" w:styleId="10">
    <w:name w:val="Normal Table"/>
    <w:semiHidden/>
    <w:qFormat/>
    <w:uiPriority w:val="0"/>
    <w:tblPr>
      <w:tblCellMar>
        <w:top w:w="0" w:type="dxa"/>
        <w:left w:w="108" w:type="dxa"/>
        <w:bottom w:w="0" w:type="dxa"/>
        <w:right w:w="108" w:type="dxa"/>
      </w:tblCellMar>
    </w:tblPr>
  </w:style>
  <w:style w:type="paragraph" w:styleId="3">
    <w:name w:val="Body Text"/>
    <w:basedOn w:val="1"/>
    <w:semiHidden/>
    <w:qFormat/>
    <w:uiPriority w:val="0"/>
    <w:rPr>
      <w:rFonts w:ascii="FangSong_GB2312" w:hAnsi="FangSong_GB2312" w:eastAsia="FangSong_GB2312" w:cs="FangSong_GB2312"/>
      <w:sz w:val="28"/>
      <w:szCs w:val="28"/>
      <w:lang w:val="en-US" w:eastAsia="en-US" w:bidi="ar-SA"/>
    </w:rPr>
  </w:style>
  <w:style w:type="paragraph" w:styleId="4">
    <w:name w:val="toc 3"/>
    <w:basedOn w:val="1"/>
    <w:next w:val="1"/>
    <w:qFormat/>
    <w:uiPriority w:val="0"/>
    <w:pPr>
      <w:ind w:left="840" w:leftChars="400"/>
    </w:p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oc 2"/>
    <w:basedOn w:val="1"/>
    <w:next w:val="1"/>
    <w:qFormat/>
    <w:uiPriority w:val="0"/>
    <w:pPr>
      <w:ind w:left="420" w:leftChars="200"/>
    </w:p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12">
    <w:name w:val="WPSOffice手动目录 1"/>
    <w:qFormat/>
    <w:uiPriority w:val="0"/>
    <w:pPr>
      <w:ind w:leftChars="0"/>
    </w:pPr>
    <w:rPr>
      <w:rFonts w:ascii="Times New Roman" w:hAnsi="Times New Roman" w:eastAsia="宋体" w:cs="Times New Roman"/>
      <w:sz w:val="20"/>
      <w:szCs w:val="20"/>
    </w:rPr>
  </w:style>
  <w:style w:type="paragraph" w:customStyle="1" w:styleId="13">
    <w:name w:val="WPSOffice手动目录 2"/>
    <w:qFormat/>
    <w:uiPriority w:val="0"/>
    <w:pPr>
      <w:ind w:leftChars="200"/>
    </w:pPr>
    <w:rPr>
      <w:rFonts w:ascii="Times New Roman" w:hAnsi="Times New Roman" w:eastAsia="宋体" w:cs="Times New Roman"/>
      <w:sz w:val="20"/>
      <w:szCs w:val="20"/>
    </w:rPr>
  </w:style>
  <w:style w:type="paragraph" w:customStyle="1" w:styleId="14">
    <w:name w:val="WPSOffice手动目录 3"/>
    <w:qFormat/>
    <w:uiPriority w:val="0"/>
    <w:pPr>
      <w:ind w:leftChars="400"/>
    </w:pPr>
    <w:rPr>
      <w:rFonts w:ascii="Times New Roman" w:hAnsi="Times New Roman" w:eastAsia="宋体" w:cs="Times New Roman"/>
      <w:sz w:val="20"/>
      <w:szCs w:val="20"/>
    </w:rPr>
  </w:style>
  <w:style w:type="paragraph" w:customStyle="1" w:styleId="15">
    <w:name w:val="Table Text"/>
    <w:basedOn w:val="1"/>
    <w:semiHidden/>
    <w:qFormat/>
    <w:uiPriority w:val="0"/>
    <w:rPr>
      <w:rFonts w:ascii="FangSong_GB2312" w:hAnsi="FangSong_GB2312" w:eastAsia="FangSong_GB2312" w:cs="FangSong_GB2312"/>
      <w:sz w:val="24"/>
      <w:szCs w:val="24"/>
      <w:lang w:val="en-US" w:eastAsia="en-US" w:bidi="ar-SA"/>
    </w:rPr>
  </w:style>
  <w:style w:type="table" w:customStyle="1" w:styleId="16">
    <w:name w:val="Table Normal"/>
    <w:semiHidden/>
    <w:unhideWhenUsed/>
    <w:qFormat/>
    <w:uiPriority w:val="0"/>
    <w:tblPr>
      <w:tblCellMar>
        <w:top w:w="0" w:type="dxa"/>
        <w:left w:w="0" w:type="dxa"/>
        <w:bottom w:w="0" w:type="dxa"/>
        <w:right w:w="0" w:type="dxa"/>
      </w:tblCellMar>
    </w:tblPr>
  </w:style>
  <w:style w:type="character" w:customStyle="1" w:styleId="17">
    <w:name w:val="font11"/>
    <w:basedOn w:val="11"/>
    <w:qFormat/>
    <w:uiPriority w:val="0"/>
    <w:rPr>
      <w:rFonts w:hint="default" w:ascii="Segoe UI" w:hAnsi="Segoe UI" w:eastAsia="Segoe UI" w:cs="Segoe UI"/>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customXml" Target="../customXml/item1.xml"/><Relationship Id="rId33" Type="http://schemas.openxmlformats.org/officeDocument/2006/relationships/image" Target="media/image12.jpeg"/><Relationship Id="rId32" Type="http://schemas.openxmlformats.org/officeDocument/2006/relationships/image" Target="media/image11.jpeg"/><Relationship Id="rId31" Type="http://schemas.openxmlformats.org/officeDocument/2006/relationships/image" Target="media/image10.jpeg"/><Relationship Id="rId30" Type="http://schemas.openxmlformats.org/officeDocument/2006/relationships/image" Target="media/image9.jpeg"/><Relationship Id="rId3" Type="http://schemas.openxmlformats.org/officeDocument/2006/relationships/footnotes" Target="footnotes.xml"/><Relationship Id="rId29" Type="http://schemas.openxmlformats.org/officeDocument/2006/relationships/image" Target="media/image8.jpeg"/><Relationship Id="rId28" Type="http://schemas.openxmlformats.org/officeDocument/2006/relationships/image" Target="media/image7.jpeg"/><Relationship Id="rId27" Type="http://schemas.openxmlformats.org/officeDocument/2006/relationships/image" Target="media/image6.jpeg"/><Relationship Id="rId26" Type="http://schemas.openxmlformats.org/officeDocument/2006/relationships/image" Target="media/image5.jpeg"/><Relationship Id="rId25" Type="http://schemas.openxmlformats.org/officeDocument/2006/relationships/image" Target="media/image4.jpeg"/><Relationship Id="rId24" Type="http://schemas.openxmlformats.org/officeDocument/2006/relationships/image" Target="media/image3.jpeg"/><Relationship Id="rId23" Type="http://schemas.openxmlformats.org/officeDocument/2006/relationships/image" Target="media/image2.jpeg"/><Relationship Id="rId22" Type="http://schemas.openxmlformats.org/officeDocument/2006/relationships/image" Target="media/image1.jpeg"/><Relationship Id="rId21" Type="http://schemas.openxmlformats.org/officeDocument/2006/relationships/theme" Target="theme/theme1.xml"/><Relationship Id="rId20" Type="http://schemas.openxmlformats.org/officeDocument/2006/relationships/footer" Target="footer2.xml"/><Relationship Id="rId2" Type="http://schemas.openxmlformats.org/officeDocument/2006/relationships/settings" Target="settings.xml"/><Relationship Id="rId19" Type="http://schemas.openxmlformats.org/officeDocument/2006/relationships/header" Target="header14.xml"/><Relationship Id="rId18" Type="http://schemas.openxmlformats.org/officeDocument/2006/relationships/header" Target="header13.xml"/><Relationship Id="rId17" Type="http://schemas.openxmlformats.org/officeDocument/2006/relationships/header" Target="header12.xml"/><Relationship Id="rId16" Type="http://schemas.openxmlformats.org/officeDocument/2006/relationships/header" Target="header11.xml"/><Relationship Id="rId15" Type="http://schemas.openxmlformats.org/officeDocument/2006/relationships/header" Target="header10.xml"/><Relationship Id="rId14" Type="http://schemas.openxmlformats.org/officeDocument/2006/relationships/header" Target="header9.xml"/><Relationship Id="rId13" Type="http://schemas.openxmlformats.org/officeDocument/2006/relationships/header" Target="header8.xml"/><Relationship Id="rId12" Type="http://schemas.openxmlformats.org/officeDocument/2006/relationships/header" Target="header7.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a461061d-a304-4ed8-905c-b3e480c8b9ee</errorID>
      <errorWord>经济社会全面绿色转型</errorWord>
      <group>L1_Political</group>
      <groupName>政治性问题</groupName>
      <ability>L2_Keyword</ability>
      <abilityName>固定表述</abilityName>
      <candidateList>
        <item>经济社会发展全面绿色转型</item>
      </candidateList>
      <explain>词汇“经济社会发展全面绿色转型”在特定场景下为固定表述形式，请确认此处的“经济社会全面绿色转型”是否存在不当。</explain>
      <paraID>1E534E1A</paraID>
      <start>57</start>
      <end>69</end>
      <status>modified</status>
      <modifiedWord>经济社会发展全面绿色转型</modifiedWord>
      <trackRevisions>false</trackRevisions>
    </reviewItem>
    <reviewItem>
      <errorID>b91a842d-8208-4efc-8e32-6e094e36e287</errorID>
      <errorWord>达</errorWord>
      <group>L1_Word</group>
      <groupName>字词问题</groupName>
      <ability>L2_Typo</ability>
      <abilityName>字词错误</abilityName>
      <candidateList>
        <item>达到</item>
      </candidateList>
      <explain>〈动〉到（多指抽象事物或程度）：达得到｜达不到｜目的没有～｜～国际水平。</explain>
      <paraID>43917170</paraID>
      <start>120</start>
      <end>122</end>
      <status>modified</status>
      <modifiedWord>达到</modifiedWord>
      <trackRevisions>false</trackRevisions>
    </reviewItem>
    <reviewItem>
      <errorID>22c8eee0-3d13-45fa-be7e-dec9f7517e8d</errorID>
      <errorWord>抛撒</errorWord>
      <group>L1_Word</group>
      <groupName>字词问题</groupName>
      <ability>L2_Typo</ability>
      <abilityName>字词错误</abilityName>
      <candidateList>
        <item>抛洒</item>
      </candidateList>
      <explain>存在发音相同字词的误用。</explain>
      <paraID>248B3BE0</paraID>
      <start>78</start>
      <end>80</end>
      <status>ignored</status>
      <modifiedWord/>
      <trackRevisions>false</trackRevisions>
    </reviewItem>
    <reviewItem>
      <errorID>14cbc6bd-172b-42f5-a8b8-adf20d754640</errorID>
      <errorWord>亟需完善</errorWord>
      <group>L1_Word</group>
      <groupName>字词问题</groupName>
      <ability>L2_Typo</ability>
      <abilityName>字词错误</abilityName>
      <candidateList>
        <item>亟须完善</item>
      </candidateList>
      <explain/>
      <paraID>26168F35</paraID>
      <start>68</start>
      <end>72</end>
      <status>modified</status>
      <modifiedWord>亟须完善</modifiedWord>
      <trackRevisions>false</trackRevisions>
    </reviewItem>
    <reviewItem>
      <errorID>6c9e6a68-bb13-4896-b205-384fe77d75fd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26168F35</paraID>
      <start>123</start>
      <end>124</end>
      <status>modified</status>
      <modifiedWord>—</modifiedWord>
      <trackRevisions>false</trackRevisions>
    </reviewItem>
    <reviewItem>
      <errorID>f061713b-7f06-44d3-847b-48f1b2e353c4</errorID>
      <errorWord>；；</errorWord>
      <group>L1_Punc</group>
      <groupName>标点问题</groupName>
      <ability>L2_Punc</ability>
      <abilityName>标点符号检查</abilityName>
      <candidateList>
        <item>；</item>
      </candidateList>
      <explain/>
      <paraID>3F895C2A</paraID>
      <start>98</start>
      <end>99</end>
      <status>modified</status>
      <modifiedWord>；</modifiedWord>
      <trackRevisions>false</trackRevisions>
    </reviewItem>
    <reviewItem>
      <errorID>4a1242a0-fbac-42c6-ae8c-bee8266887fe</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❺〈书〉〈介〉用法跟“连”相同（常跟“而”、“亦”呼应）：～此而不知｜～此浅近原理亦不能明。</explain>
      <paraID>2E324DAB</paraID>
      <start>44</start>
      <end>45</end>
      <status>modified</status>
      <modifiedWord>并</modifiedWord>
      <trackRevisions>false</trackRevisions>
    </reviewItem>
    <reviewItem>
      <errorID>d297e69b-a56c-4718-9d6f-28ed26cbb7f2</errorID>
      <errorWord>期</errorWord>
      <group>L1_Word</group>
      <groupName>字词问题</groupName>
      <ability>L2_Typo</ability>
      <abilityName>字词错误</abilityName>
      <candidateList>
        <item>期间</item>
      </candidateList>
      <explain>〈名〉某个时期里面：农忙～｜春节～｜抗战～。</explain>
      <paraID>174C237B</paraID>
      <start>2</start>
      <end>3</end>
      <status>ignored</status>
      <modifiedWord/>
      <trackRevisions>false</trackRevisions>
    </reviewItem>
    <reviewItem>
      <errorID>32a06ef3-da79-4831-b050-650ed9f3daaf</errorID>
      <errorWord>核载</errorWord>
      <group>L1_Word</group>
      <groupName>字词问题</groupName>
      <ability>L2_Typo</ability>
      <abilityName>字词错误</abilityName>
      <candidateList>
        <item>荷载</item>
      </candidateList>
      <explain/>
      <paraID>3F6E4382</paraID>
      <start>50</start>
      <end>52</end>
      <status>modified</status>
      <modifiedWord>荷载</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20ca66-b3bd-4904-8123-a2ebab0f7fb8}">
  <ds:schemaRefs/>
</ds:datastoreItem>
</file>

<file path=docProps/app.xml><?xml version="1.0" encoding="utf-8"?>
<Properties xmlns="http://schemas.openxmlformats.org/officeDocument/2006/extended-properties" xmlns:vt="http://schemas.openxmlformats.org/officeDocument/2006/docPropsVTypes">
  <Template>Normal.dotm</Template>
  <Pages>47</Pages>
  <Words>7965</Words>
  <Characters>8447</Characters>
  <Lines>0</Lines>
  <Paragraphs>0</Paragraphs>
  <TotalTime>275</TotalTime>
  <ScaleCrop>false</ScaleCrop>
  <LinksUpToDate>false</LinksUpToDate>
  <CharactersWithSpaces>9292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2025-08-15T07:38:00Z</dcterms:created>
  <dc:creator>冯凯</dc:creator>
  <cp:lastModifiedBy>三木</cp:lastModifiedBy>
  <dcterms:modified xsi:type="dcterms:W3CDTF">2025-11-27T08:26:12Z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F2502F52D908454890EC18B8F6EDA02D_13</vt:lpwstr>
  </property>
  <property fmtid="{D5CDD505-2E9C-101B-9397-08002B2CF9AE}" pid="4" name="KSOTemplateDocerSaveRecord">
    <vt:lpwstr>eyJoZGlkIjoiNjIyYzg1N2UzMmYwYjIxODVhNmMzOTA0NDE4ODhkYWMiLCJ1c2VySWQiOiIxNDg3MTA4NjA0In0=</vt:lpwstr>
  </property>
</Properties>
</file>