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C7192">
      <w:pPr>
        <w:jc w:val="center"/>
        <w:rPr>
          <w:b/>
          <w:bCs/>
          <w:color w:val="FF0000"/>
          <w:sz w:val="45"/>
          <w:szCs w:val="45"/>
          <w:shd w:val="clear" w:color="auto" w:fill="FFFFFF"/>
        </w:rPr>
      </w:pPr>
      <w:r>
        <w:rPr>
          <w:rFonts w:hint="eastAsia"/>
          <w:b/>
          <w:bCs/>
          <w:color w:val="FF0000"/>
          <w:sz w:val="45"/>
          <w:szCs w:val="45"/>
          <w:shd w:val="clear" w:color="auto" w:fill="FFFFFF"/>
        </w:rPr>
        <w:t>甘州区退役军人事务</w:t>
      </w:r>
      <w:r>
        <w:rPr>
          <w:b/>
          <w:bCs/>
          <w:color w:val="FF0000"/>
          <w:sz w:val="45"/>
          <w:szCs w:val="45"/>
          <w:shd w:val="clear" w:color="auto" w:fill="FFFFFF"/>
        </w:rPr>
        <w:t>局</w:t>
      </w:r>
    </w:p>
    <w:p w14:paraId="1F791184">
      <w:pPr>
        <w:jc w:val="center"/>
        <w:rPr>
          <w:b/>
          <w:bCs/>
          <w:color w:val="0653AB"/>
          <w:sz w:val="45"/>
          <w:szCs w:val="45"/>
          <w:shd w:val="clear" w:color="auto" w:fill="FFFFFF"/>
        </w:rPr>
      </w:pPr>
      <w:r>
        <w:rPr>
          <w:b/>
          <w:bCs/>
          <w:color w:val="0653AB"/>
          <w:sz w:val="45"/>
          <w:szCs w:val="45"/>
          <w:shd w:val="clear" w:color="auto" w:fill="FFFFFF"/>
        </w:rPr>
        <w:t>202</w:t>
      </w:r>
      <w:r>
        <w:rPr>
          <w:rFonts w:hint="eastAsia"/>
          <w:b/>
          <w:bCs/>
          <w:color w:val="0653AB"/>
          <w:sz w:val="45"/>
          <w:szCs w:val="45"/>
          <w:shd w:val="clear" w:color="auto" w:fill="FFFFFF"/>
          <w:lang w:val="en-US" w:eastAsia="zh-CN"/>
        </w:rPr>
        <w:t>6</w:t>
      </w:r>
      <w:r>
        <w:rPr>
          <w:b/>
          <w:bCs/>
          <w:color w:val="0653AB"/>
          <w:sz w:val="45"/>
          <w:szCs w:val="45"/>
          <w:shd w:val="clear" w:color="auto" w:fill="FFFFFF"/>
        </w:rPr>
        <w:t>年部门预算公开情况说明</w:t>
      </w:r>
    </w:p>
    <w:p w14:paraId="79696031">
      <w:pPr>
        <w:jc w:val="center"/>
        <w:rPr>
          <w:b/>
          <w:bCs/>
          <w:color w:val="0653AB"/>
          <w:sz w:val="45"/>
          <w:szCs w:val="45"/>
          <w:shd w:val="clear" w:color="auto" w:fill="FFFFFF"/>
        </w:rPr>
      </w:pPr>
      <w:r>
        <w:rPr>
          <w:rStyle w:val="4"/>
          <w:color w:val="333333"/>
          <w:sz w:val="44"/>
          <w:szCs w:val="44"/>
        </w:rPr>
        <w:t>目 录</w:t>
      </w:r>
    </w:p>
    <w:p w14:paraId="5A9C36E1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第一部分 单位基本概况</w:t>
      </w:r>
    </w:p>
    <w:p w14:paraId="35F231FA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一、单位职责</w:t>
      </w:r>
    </w:p>
    <w:p w14:paraId="27740E4D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二、机构设置情况</w:t>
      </w:r>
    </w:p>
    <w:p w14:paraId="2A556894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第二部分</w:t>
      </w:r>
      <w:r>
        <w:rPr>
          <w:rStyle w:val="4"/>
          <w:rFonts w:hint="eastAsia" w:ascii="仿宋_GB2312" w:hAnsi="Calibri" w:eastAsia="仿宋_GB2312"/>
          <w:color w:val="000000"/>
          <w:sz w:val="30"/>
          <w:szCs w:val="30"/>
        </w:rPr>
        <w:t>202</w:t>
      </w:r>
      <w:r>
        <w:rPr>
          <w:rStyle w:val="4"/>
          <w:rFonts w:hint="eastAsia" w:ascii="仿宋_GB2312" w:hAnsi="Calibri" w:eastAsia="仿宋_GB2312"/>
          <w:color w:val="000000"/>
          <w:sz w:val="30"/>
          <w:szCs w:val="30"/>
          <w:lang w:val="en-US" w:eastAsia="zh-CN"/>
        </w:rPr>
        <w:t>6</w:t>
      </w: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年单位预算情况说明</w:t>
      </w:r>
    </w:p>
    <w:p w14:paraId="2999CFFB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一、收支总体情况</w:t>
      </w:r>
    </w:p>
    <w:p w14:paraId="0CCC9E56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二、一般公共预算情况</w:t>
      </w:r>
    </w:p>
    <w:p w14:paraId="20E30E07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三、一般公共预算财政拨款“三公”经费、培训费、会议费等情况</w:t>
      </w:r>
    </w:p>
    <w:p w14:paraId="419DF2A4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四、一般公共预算财政拨款机关运行经费情况</w:t>
      </w:r>
    </w:p>
    <w:p w14:paraId="63725E15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五、政府采购安排情况</w:t>
      </w:r>
    </w:p>
    <w:p w14:paraId="35904A09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六、国有资产占用情况</w:t>
      </w:r>
    </w:p>
    <w:p w14:paraId="7B74FF27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七、其他重要事项情况说明</w:t>
      </w:r>
    </w:p>
    <w:p w14:paraId="526D6ABC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八、预算绩效管理情况</w:t>
      </w:r>
    </w:p>
    <w:p w14:paraId="4AA499F8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九、名词解释</w:t>
      </w:r>
    </w:p>
    <w:p w14:paraId="27B3999C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第三部分</w:t>
      </w:r>
      <w:r>
        <w:rPr>
          <w:rStyle w:val="4"/>
          <w:rFonts w:hint="eastAsia" w:ascii="仿宋_GB2312" w:hAnsi="Calibri" w:eastAsia="仿宋_GB2312"/>
          <w:color w:val="000000"/>
          <w:sz w:val="30"/>
          <w:szCs w:val="30"/>
        </w:rPr>
        <w:t>202</w:t>
      </w:r>
      <w:r>
        <w:rPr>
          <w:rStyle w:val="4"/>
          <w:rFonts w:hint="eastAsia" w:ascii="仿宋_GB2312" w:hAnsi="Calibri" w:eastAsia="仿宋_GB2312"/>
          <w:color w:val="000000"/>
          <w:sz w:val="30"/>
          <w:szCs w:val="30"/>
          <w:lang w:val="en-US" w:eastAsia="zh-CN"/>
        </w:rPr>
        <w:t>6</w:t>
      </w:r>
      <w:r>
        <w:rPr>
          <w:rStyle w:val="4"/>
          <w:rFonts w:hint="eastAsia" w:ascii="仿宋_GB2312" w:eastAsia="仿宋_GB2312"/>
          <w:color w:val="000000"/>
          <w:sz w:val="30"/>
          <w:szCs w:val="30"/>
        </w:rPr>
        <w:t>年单位预算公开表</w:t>
      </w:r>
    </w:p>
    <w:p w14:paraId="3018B955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一、单位收支总体情况表</w:t>
      </w:r>
    </w:p>
    <w:p w14:paraId="3F8ACC8B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二、单位收入总体情况表</w:t>
      </w:r>
    </w:p>
    <w:p w14:paraId="4AD5C218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三、单位支出总体情况表</w:t>
      </w:r>
    </w:p>
    <w:p w14:paraId="0583E525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四、财政拨款收支总体情况表</w:t>
      </w:r>
    </w:p>
    <w:p w14:paraId="2FFA686D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五、财政拨款支出表</w:t>
      </w:r>
    </w:p>
    <w:p w14:paraId="3484E8FA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六、一般公共预算支出情况表</w:t>
      </w:r>
    </w:p>
    <w:p w14:paraId="69EA8E51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七、一般公共预算基本支出情况表</w:t>
      </w:r>
    </w:p>
    <w:p w14:paraId="6662AEE9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72DD19A7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九、一般公共预算财政拨款机关运行经费表</w:t>
      </w:r>
    </w:p>
    <w:p w14:paraId="272E02EC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十、政府性基金预算支出情况表</w:t>
      </w:r>
    </w:p>
    <w:p w14:paraId="2B32D6E7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十一、部门管理转移支付表</w:t>
      </w:r>
    </w:p>
    <w:p w14:paraId="586B141D">
      <w:pPr>
        <w:pStyle w:val="5"/>
        <w:spacing w:before="600" w:beforeAutospacing="0" w:after="0" w:afterAutospacing="0" w:line="561" w:lineRule="atLeast"/>
        <w:ind w:left="150" w:right="150" w:firstLine="601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十二、国有资本经营预算支出情况表</w:t>
      </w:r>
    </w:p>
    <w:p w14:paraId="1EEF7F38">
      <w:pPr>
        <w:pStyle w:val="5"/>
        <w:spacing w:before="600" w:beforeAutospacing="0" w:after="0" w:afterAutospacing="0" w:line="561" w:lineRule="atLeast"/>
        <w:ind w:left="150" w:right="150" w:firstLine="601"/>
        <w:rPr>
          <w:sz w:val="20"/>
          <w:szCs w:val="20"/>
        </w:rPr>
      </w:pPr>
      <w:r>
        <w:rPr>
          <w:rFonts w:hint="eastAsia" w:ascii="仿宋_GB2312" w:eastAsia="仿宋_GB2312"/>
          <w:sz w:val="30"/>
          <w:szCs w:val="30"/>
        </w:rPr>
        <w:t>十三、单位整体支出绩效目标表和项目支出绩效目标表</w:t>
      </w:r>
    </w:p>
    <w:p w14:paraId="64F04349">
      <w:pPr>
        <w:widowControl/>
        <w:shd w:val="clear" w:color="auto" w:fill="FFFFFF"/>
        <w:spacing w:before="600" w:line="601" w:lineRule="atLeast"/>
        <w:ind w:left="150" w:right="150" w:firstLine="641"/>
        <w:jc w:val="center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前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言</w:t>
      </w:r>
    </w:p>
    <w:p w14:paraId="70522D58">
      <w:pPr>
        <w:widowControl/>
        <w:shd w:val="clear" w:color="auto" w:fill="FFFFFF"/>
        <w:spacing w:before="600" w:line="601" w:lineRule="atLeast"/>
        <w:ind w:left="150" w:right="150" w:firstLine="641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按照《中华人民共和国预算法》《中华人民共和国预算法实施条例》以及财政部《地方预决算公开操作规程》《关于推进部门所属单位预算公开的指导意见》和《中共甘肃省委办公厅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年部门预算公开如下：</w:t>
      </w:r>
    </w:p>
    <w:p w14:paraId="1BA28367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 w14:paraId="4497D8C4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甘州区退役军人事务局是区政府工作部门，</w:t>
      </w:r>
      <w:r>
        <w:rPr>
          <w:rFonts w:hint="eastAsia" w:ascii="仿宋_GB2312" w:hAnsi="仿宋_GB2312" w:eastAsia="仿宋_GB2312" w:cs="仿宋_GB2312"/>
          <w:sz w:val="32"/>
          <w:szCs w:val="32"/>
        </w:rPr>
        <w:t>正科级建制，财政全额拨款单位。</w:t>
      </w:r>
      <w:r>
        <w:rPr>
          <w:rFonts w:hint="eastAsia" w:ascii="仿宋_GB2312" w:hAnsi="仿宋" w:eastAsia="仿宋_GB2312"/>
          <w:sz w:val="32"/>
          <w:szCs w:val="32"/>
        </w:rPr>
        <w:t>主要职责是：</w:t>
      </w:r>
    </w:p>
    <w:p w14:paraId="1063A296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（一）贯彻落实党中央关于退役军人思想政治、管理保障和安置优抚等工作政策法规，褒扬彰显退役军人为党、国家和人民牺牲奉献的精神风范和价值导向。</w:t>
      </w:r>
    </w:p>
    <w:p w14:paraId="5960FDA0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（二）负责军队转业干部、复员干部、自主择业军队转业干部、逐月领取退役金退役军人、无军籍退休退职职工和退役士兵的移交安置工作和创业、就业服务管理工作。</w:t>
      </w:r>
    </w:p>
    <w:p w14:paraId="78EED89C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（三）组织开展退役军人教育培训工作，引导退役军人和随军随调家属就业创业。</w:t>
      </w:r>
    </w:p>
    <w:p w14:paraId="7DF8D1AD">
      <w:pPr>
        <w:spacing w:line="560" w:lineRule="exact"/>
        <w:ind w:firstLine="640" w:firstLineChars="200"/>
        <w:rPr>
          <w:rFonts w:ascii="仿宋_GB2312" w:hAnsi="仿宋" w:eastAsia="仿宋_GB2312"/>
          <w:w w:val="99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（四）组织协调落实移交地方安置的残疾军人、自主择业军队转业干部、复员</w:t>
      </w:r>
      <w:r>
        <w:rPr>
          <w:rFonts w:hint="eastAsia" w:ascii="仿宋_GB2312" w:hAnsi="仿宋" w:eastAsia="仿宋_GB2312"/>
          <w:w w:val="99"/>
          <w:sz w:val="32"/>
          <w:szCs w:val="32"/>
        </w:rPr>
        <w:t>干部和无军籍退休退职职工医疗保障、社会保险等待遇保障工作。</w:t>
      </w:r>
    </w:p>
    <w:p w14:paraId="4D90E789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（五）贯彻落实退役军人特殊保障政策具体措施，贯彻落实中央、省、市优抚对象优待抚恤标准办法。</w:t>
      </w:r>
    </w:p>
    <w:p w14:paraId="4B0F5F31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（六）组织落实伤病残军人服务管理和抚恤工作。</w:t>
      </w:r>
    </w:p>
    <w:p w14:paraId="27C3AE46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（七）协调并组织开展全区拥军优属工作。负责现役军人、退役军人、军队文职人员和军属优先、抚恤等工作。</w:t>
      </w:r>
    </w:p>
    <w:p w14:paraId="1901743F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（八）负责烈士褒扬及退役军人荣誉奖励、军人公墓、烈士零散公墓管理维护、纪念活动等工作。总结表彰和宣扬退役军人先进典型、退役军人工作单位和个人先进典型事迹。</w:t>
      </w:r>
    </w:p>
    <w:p w14:paraId="67D54CEE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（九）负责落实退役军人相关法律法规和政策措施，组织开展退役军人权益维护和有关人员的帮扶援助工作。做好涉军维稳工作。</w:t>
      </w:r>
    </w:p>
    <w:p w14:paraId="7CF54191">
      <w:pPr>
        <w:spacing w:line="560" w:lineRule="exact"/>
        <w:ind w:firstLine="620" w:firstLineChars="200"/>
        <w:rPr>
          <w:rFonts w:ascii="仿宋_GB2312" w:hAnsi="仿宋" w:eastAsia="仿宋_GB2312"/>
          <w:w w:val="97"/>
          <w:sz w:val="32"/>
          <w:szCs w:val="32"/>
        </w:rPr>
      </w:pPr>
      <w:r>
        <w:rPr>
          <w:rFonts w:hint="eastAsia" w:ascii="仿宋_GB2312" w:hAnsi="仿宋" w:eastAsia="仿宋_GB2312"/>
          <w:w w:val="97"/>
          <w:sz w:val="32"/>
          <w:szCs w:val="32"/>
        </w:rPr>
        <w:t>（十）做好单位党的建设、党风廉政建设、意识形态、生态环保、安全生产等工作。</w:t>
      </w:r>
    </w:p>
    <w:p w14:paraId="67E14239">
      <w:pPr>
        <w:spacing w:line="560" w:lineRule="exact"/>
        <w:ind w:firstLine="620" w:firstLineChars="200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仿宋" w:eastAsia="仿宋_GB2312"/>
          <w:w w:val="97"/>
          <w:sz w:val="32"/>
          <w:szCs w:val="32"/>
        </w:rPr>
        <w:t>（十一）完成区委、区政府和市退役军人事务局交办的其他任务。</w:t>
      </w:r>
    </w:p>
    <w:p w14:paraId="47B669EF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57DCB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办公室。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主要负责文电、会务、机要、档案等机关日常运转工作。承担党建、宣传、意识形态、保密、安全、财务、审计、政务公开及信息化建设、统战、民族宗教、招商引资、项目建设等工作。</w:t>
      </w:r>
    </w:p>
    <w:p w14:paraId="2467FC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3" w:leftChars="0" w:firstLine="643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安置保障股。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主要负责符合政府安排工作条件及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逐月领取退役金退役军人的移交接收、安置，</w:t>
      </w:r>
      <w:r>
        <w:rPr>
          <w:rFonts w:hint="eastAsia" w:ascii="仿宋_GB2312" w:eastAsia="仿宋_GB2312"/>
          <w:color w:val="auto"/>
          <w:sz w:val="32"/>
          <w:szCs w:val="32"/>
        </w:rPr>
        <w:t>自主择业军转干部、企业军转干部、复员干部、无军籍职工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管理及政策落实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做好</w:t>
      </w:r>
      <w:r>
        <w:rPr>
          <w:rFonts w:hint="default" w:ascii="仿宋_GB2312" w:eastAsia="仿宋_GB2312"/>
          <w:color w:val="auto"/>
          <w:sz w:val="32"/>
          <w:szCs w:val="32"/>
        </w:rPr>
        <w:t>政法、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信访稳定、依法行政、法律援助、</w:t>
      </w:r>
      <w:r>
        <w:rPr>
          <w:rFonts w:hint="eastAsia" w:ascii="仿宋_GB2312" w:eastAsia="仿宋_GB2312"/>
          <w:color w:val="auto"/>
          <w:sz w:val="32"/>
          <w:szCs w:val="32"/>
        </w:rPr>
        <w:t>司法救助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烈士纪念设施管护以及褒扬纪念活动等工作。   </w:t>
      </w:r>
    </w:p>
    <w:p w14:paraId="7991C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（三）拥军优抚股。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主要负责退役军人及其他优抚对象的优待抚恤等工作，同时做好业务范围内的信访工作。</w:t>
      </w:r>
    </w:p>
    <w:p w14:paraId="69840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（四）区双拥工作服务中心。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组织指导全区拥军优属工作，联系协调驻区各部队，配合武装部做好征兵工作。负责立功送喜报等荣誉奖励及拥军优属政策落实和“拥军联盟服务站”等工作，同时做好业务范围内的信访工作。</w:t>
      </w:r>
    </w:p>
    <w:p w14:paraId="1C750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（五）区退役军人服务中心。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主要负责退役军人服务站建设指导以及退役军人思想政治引领、政策宣传、教育培训、就业创业、社保接续等，</w:t>
      </w:r>
      <w:r>
        <w:rPr>
          <w:rFonts w:hint="eastAsia" w:ascii="仿宋_GB2312" w:eastAsia="仿宋_GB2312"/>
          <w:color w:val="auto"/>
          <w:sz w:val="32"/>
          <w:szCs w:val="32"/>
        </w:rPr>
        <w:t>自主就业退役士兵报到接收、关系转接、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党员教育管理、人事档案建设管理、政务服务等事项，负责退役军人事务统计、典型培树表彰、帮扶援助、走访慰问、志愿服务、建档立卡、光荣牌悬挂、常态化联系等工作。</w:t>
      </w:r>
    </w:p>
    <w:p w14:paraId="3341B315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 w14:paraId="7A800664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6280.93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按照综合预算的原则，部单位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1C821B66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1.收入预算</w:t>
      </w:r>
    </w:p>
    <w:p w14:paraId="4661CF47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年收入预算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6280.93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万元（详见单位预算公开表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1,2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）。包括：</w:t>
      </w:r>
    </w:p>
    <w:p w14:paraId="3159AB9D">
      <w:pPr>
        <w:widowControl/>
        <w:shd w:val="clear" w:color="auto" w:fill="FFFFFF"/>
        <w:ind w:firstLine="640" w:firstLineChars="200"/>
        <w:jc w:val="left"/>
        <w:rPr>
          <w:rFonts w:hint="default" w:ascii="宋体" w:hAnsi="宋体" w:eastAsia="仿宋_GB2312" w:cs="宋体"/>
          <w:kern w:val="0"/>
          <w:sz w:val="20"/>
          <w:szCs w:val="20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一般公共预算收入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5388.84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85.8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上年结转892.09万元，占14.2%。</w:t>
      </w:r>
    </w:p>
    <w:p w14:paraId="58197130">
      <w:pPr>
        <w:widowControl/>
        <w:shd w:val="clear" w:color="auto" w:fill="FFFFFF"/>
        <w:jc w:val="center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32"/>
          <w:szCs w:val="32"/>
        </w:rPr>
        <w:t>图</w:t>
      </w:r>
      <w:r>
        <w:rPr>
          <w:rFonts w:ascii="Calibri" w:hAnsi="Calibri" w:eastAsia="宋体" w:cs="宋体"/>
          <w:kern w:val="0"/>
          <w:sz w:val="32"/>
          <w:szCs w:val="32"/>
        </w:rPr>
        <w:t>1</w:t>
      </w:r>
      <w:r>
        <w:rPr>
          <w:rFonts w:ascii="宋体" w:hAnsi="宋体" w:eastAsia="宋体" w:cs="宋体"/>
          <w:kern w:val="0"/>
          <w:sz w:val="32"/>
          <w:szCs w:val="32"/>
        </w:rPr>
        <w:t>：收入预算构成</w:t>
      </w:r>
    </w:p>
    <w:tbl>
      <w:tblPr>
        <w:tblStyle w:val="2"/>
        <w:tblW w:w="9630" w:type="dxa"/>
        <w:tblInd w:w="0" w:type="dxa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9630"/>
      </w:tblGrid>
      <w:tr w14:paraId="2F79412E">
        <w:trPr>
          <w:trHeight w:val="5880" w:hRule="atLeast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81F65">
            <w:pPr>
              <w:widowControl/>
              <w:spacing w:before="600" w:after="600" w:line="510" w:lineRule="atLeast"/>
              <w:ind w:left="150" w:right="15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drawing>
                <wp:inline distT="0" distB="0" distL="0" distR="0">
                  <wp:extent cx="5274310" cy="3505200"/>
                  <wp:effectExtent l="4445" t="4445" r="17145" b="14605"/>
                  <wp:docPr id="5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</w:tr>
    </w:tbl>
    <w:p w14:paraId="59C6533B"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32"/>
          <w:szCs w:val="32"/>
        </w:rPr>
        <w:t>蓝色：一般公共预算收入</w:t>
      </w:r>
      <w:r>
        <w:rPr>
          <w:rFonts w:ascii="Calibri" w:hAnsi="Calibri" w:eastAsia="宋体" w:cs="宋体"/>
          <w:kern w:val="0"/>
          <w:sz w:val="32"/>
          <w:szCs w:val="32"/>
        </w:rPr>
        <w:t>100%</w:t>
      </w:r>
    </w:p>
    <w:p w14:paraId="2873F040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2.支出预算</w:t>
      </w:r>
    </w:p>
    <w:p w14:paraId="02D49DB9">
      <w:pPr>
        <w:widowControl/>
        <w:shd w:val="clear" w:color="auto" w:fill="FFFFFF"/>
        <w:ind w:firstLine="640" w:firstLineChars="200"/>
        <w:jc w:val="left"/>
        <w:rPr>
          <w:rFonts w:hint="default" w:ascii="宋体" w:hAnsi="宋体" w:eastAsia="仿宋_GB2312" w:cs="宋体"/>
          <w:kern w:val="0"/>
          <w:sz w:val="20"/>
          <w:szCs w:val="20"/>
          <w:lang w:val="en-US" w:eastAsia="zh-CN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年支出预算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6280.93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万元（详见单位预算公开表3）。其中：基本支出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311.74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5077.1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80.9</w:t>
      </w:r>
      <w:r>
        <w:rPr>
          <w:rFonts w:ascii="仿宋_GB2312" w:hAnsi="宋体" w:eastAsia="仿宋_GB2312" w:cs="宋体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上年结转892.09万元，占14.2%。</w:t>
      </w:r>
    </w:p>
    <w:p w14:paraId="31B366D9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4A7D65DB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年一般公共预算当年支出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5752.06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万元，包括：社会保障和就业支出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5349.99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万元、卫生健康支出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15.37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万元、住房保障支出（住房公积金）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23.48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ascii="宋体" w:hAnsi="宋体" w:eastAsia="宋体" w:cs="宋体"/>
          <w:kern w:val="0"/>
          <w:sz w:val="20"/>
          <w:szCs w:val="20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具体安排情况如下（详见单位预算公开表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4,5,6,7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</w:p>
    <w:p w14:paraId="47B956ED">
      <w:pPr>
        <w:widowControl/>
        <w:shd w:val="clear" w:color="auto" w:fill="FFFFFF"/>
        <w:spacing w:before="600" w:line="641" w:lineRule="atLeast"/>
        <w:ind w:left="150" w:right="150"/>
        <w:jc w:val="center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图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：支出预算构成</w:t>
      </w:r>
    </w:p>
    <w:p w14:paraId="2C48B02B">
      <w:pPr>
        <w:widowControl/>
        <w:shd w:val="clear" w:color="auto" w:fill="FFFFFF"/>
        <w:spacing w:before="600" w:line="195" w:lineRule="atLeast"/>
        <w:ind w:left="150" w:right="1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蓝色：社会保障和就业支出</w:t>
      </w:r>
    </w:p>
    <w:p w14:paraId="7B9B34F0">
      <w:pPr>
        <w:widowControl/>
        <w:shd w:val="clear" w:color="auto" w:fill="FFFFFF"/>
        <w:ind w:firstLine="320" w:firstLineChars="1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绿色</w:t>
      </w:r>
      <w:r>
        <w:rPr>
          <w:rFonts w:ascii="宋体" w:hAnsi="宋体" w:eastAsia="宋体" w:cs="宋体"/>
          <w:kern w:val="0"/>
          <w:sz w:val="20"/>
          <w:szCs w:val="20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卫生健康支出</w:t>
      </w:r>
    </w:p>
    <w:p w14:paraId="0C4ADACB"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红色：住房保障支出（住房公积金）</w:t>
      </w:r>
    </w:p>
    <w:p w14:paraId="2EB85E1C">
      <w:pPr>
        <w:widowControl/>
        <w:shd w:val="clear" w:color="auto" w:fill="FFFFFF"/>
        <w:spacing w:before="600" w:line="195" w:lineRule="atLeast"/>
        <w:ind w:left="150" w:right="15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0"/>
          <w:szCs w:val="20"/>
        </w:rPr>
        <w:drawing>
          <wp:inline distT="0" distB="0" distL="0" distR="0">
            <wp:extent cx="5274310" cy="3505200"/>
            <wp:effectExtent l="0" t="0" r="2540" b="0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1FF3322">
      <w:pPr>
        <w:widowControl/>
        <w:shd w:val="clear" w:color="auto" w:fill="FFFFFF"/>
        <w:spacing w:before="600" w:line="641" w:lineRule="atLeast"/>
        <w:ind w:left="150" w:right="150" w:firstLine="641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（一）基本支出</w:t>
      </w:r>
    </w:p>
    <w:p w14:paraId="66598CD2">
      <w:pPr>
        <w:widowControl/>
        <w:shd w:val="clear" w:color="auto" w:fill="FFFFFF"/>
        <w:ind w:firstLine="960" w:firstLineChars="3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年基本支出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311.74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年增加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27.53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万元，提高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0.08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，主要原因是补助标准提高。</w:t>
      </w:r>
    </w:p>
    <w:p w14:paraId="147C3CAB">
      <w:pPr>
        <w:widowControl/>
        <w:shd w:val="clear" w:color="auto" w:fill="FFFFFF"/>
        <w:ind w:firstLine="960" w:firstLineChars="3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其中：人员经费支出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278.36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7D302091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公用经费支出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33.38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3A5E6093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（二）项目支出</w:t>
      </w:r>
    </w:p>
    <w:p w14:paraId="51ABB1A8"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年一般公共预算拨款项目支出预算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5007.1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增加3181.23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中央转移支付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项目经费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提前下达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42CB5418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0D66034D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1.202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年行政运行支出预算数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242.06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年预算增加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19.66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万元，主要原因是人员增减变动。</w:t>
      </w:r>
    </w:p>
    <w:p w14:paraId="1D9947A3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2.202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年机关事业单位基本养老保险缴费支出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29.48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年预算增加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3.45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万元，主要原因是人员增减变动。</w:t>
      </w:r>
    </w:p>
    <w:p w14:paraId="62EA78D1"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3.202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年行政单位医疗支出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11.75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减少1.83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万元，主要原因是人员增减变动。</w:t>
      </w:r>
    </w:p>
    <w:p w14:paraId="5E5506DD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4.202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年住房公积金支出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23.48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年预算增加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2.53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万元，主要原因是公积金缴费基数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1DECA97D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B2EE678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714C5D10">
      <w:pPr>
        <w:widowControl/>
        <w:shd w:val="clear" w:color="auto" w:fill="FFFFFF"/>
        <w:ind w:firstLine="40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0"/>
          <w:szCs w:val="20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三公”经费预算</w:t>
      </w:r>
      <w:r>
        <w:rPr>
          <w:rFonts w:ascii="仿宋_GB2312" w:hAnsi="Calibri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万元，与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年一致。</w:t>
      </w:r>
    </w:p>
    <w:p w14:paraId="199B15FE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因公出国（境）费、车辆购置费，由市级财政统一安排，根据部门实际情况，经市政府同意，按程序拨付部门单位使用。</w:t>
      </w:r>
    </w:p>
    <w:p w14:paraId="6DA76964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公务接待费</w:t>
      </w:r>
      <w:r>
        <w:rPr>
          <w:rFonts w:ascii="仿宋_GB2312" w:hAnsi="Calibri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万元。与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年一致。主要原因是按照省市相关规定，压减了三公经费。</w:t>
      </w:r>
    </w:p>
    <w:p w14:paraId="4A832367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公务用车运行维护费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bookmarkStart w:id="0" w:name="_Hlk160614084"/>
      <w:r>
        <w:rPr>
          <w:rFonts w:hint="eastAsia" w:ascii="仿宋_GB2312" w:hAnsi="宋体" w:eastAsia="仿宋_GB2312" w:cs="宋体"/>
          <w:kern w:val="0"/>
          <w:sz w:val="32"/>
          <w:szCs w:val="32"/>
        </w:rPr>
        <w:t>与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年一致</w:t>
      </w:r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。公务用车辆保有量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辆。</w:t>
      </w:r>
    </w:p>
    <w:p w14:paraId="23F20CD9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17E39FED">
      <w:pPr>
        <w:widowControl/>
        <w:shd w:val="clear" w:color="auto" w:fill="FFFFFF"/>
        <w:ind w:firstLine="640" w:firstLineChars="200"/>
        <w:jc w:val="left"/>
        <w:rPr>
          <w:rFonts w:hint="default" w:ascii="宋体" w:hAnsi="宋体" w:eastAsia="宋体" w:cs="宋体"/>
          <w:kern w:val="0"/>
          <w:sz w:val="20"/>
          <w:szCs w:val="20"/>
          <w:lang w:val="en-US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培训费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万元，较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主要是自主就业退役士兵适应性培训经费列入培训费。</w:t>
      </w:r>
    </w:p>
    <w:p w14:paraId="50F1051E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12956EF5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会议费</w:t>
      </w:r>
      <w:r>
        <w:rPr>
          <w:rFonts w:ascii="仿宋_GB2312" w:hAnsi="Calibri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万元，与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年一致。</w:t>
      </w:r>
    </w:p>
    <w:tbl>
      <w:tblPr>
        <w:tblStyle w:val="2"/>
        <w:tblW w:w="9990" w:type="dxa"/>
        <w:tblInd w:w="0" w:type="dxa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9990"/>
      </w:tblGrid>
      <w:tr w14:paraId="4E8E926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515" w:hRule="atLeast"/>
        </w:trPr>
        <w:tc>
          <w:tcPr>
            <w:tcW w:w="9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6893">
            <w:pPr>
              <w:widowControl/>
              <w:spacing w:before="600" w:after="600" w:line="510" w:lineRule="atLeast"/>
              <w:ind w:left="150" w:right="15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drawing>
                <wp:inline distT="0" distB="0" distL="0" distR="0">
                  <wp:extent cx="5274310" cy="3629025"/>
                  <wp:effectExtent l="0" t="0" r="0" b="0"/>
                  <wp:docPr id="1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14:paraId="4E92C8A4">
      <w:pPr>
        <w:widowControl/>
        <w:shd w:val="clear" w:color="auto" w:fill="FFFFFF"/>
        <w:spacing w:before="600" w:line="641" w:lineRule="atLeast"/>
        <w:ind w:left="150" w:right="150" w:firstLine="641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70280BE6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机关运行费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146.13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万元，较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112.06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上升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23.3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主要是双拥工作经费和烈士陵园管护经费列入机关运行经费中，上年度争取省级烈士纪念馆修缮经费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4B5D6BF8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600954CF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年政府采购预算总额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2.6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万元，其中：政府采购货物预算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万元，政府采购服务预算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1.6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年单位面向中小企业预留政府采购项目预算金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2.4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万元，小微企业预留政府采购项目预算金额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2.4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 w14:paraId="61076A14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31F6A6A4">
      <w:pPr>
        <w:spacing w:line="560" w:lineRule="exact"/>
        <w:ind w:firstLine="640" w:firstLineChars="200"/>
        <w:rPr>
          <w:rFonts w:ascii="仿宋_GB2312" w:hAnsi="Calibri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上年末固定资产金额为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44.02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万元, 其中：通用设备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31.3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万元，图书和档案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2.76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万元，家俱、用俱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9.96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万元。</w:t>
      </w:r>
    </w:p>
    <w:p w14:paraId="4FF56DEE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1587246C">
      <w:pPr>
        <w:widowControl/>
        <w:shd w:val="clear" w:color="auto" w:fill="FFFFFF"/>
        <w:ind w:firstLine="321" w:firstLineChars="1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7C8CF85B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年未安排政府性基金预算支出，政府性基金预算支出情况表为空表。</w:t>
      </w:r>
    </w:p>
    <w:p w14:paraId="4720B2F2">
      <w:pPr>
        <w:widowControl/>
        <w:shd w:val="clear" w:color="auto" w:fill="FFFFFF"/>
        <w:ind w:firstLine="321" w:firstLineChars="1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4C7DB95E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年本单位无非税收入。</w:t>
      </w:r>
    </w:p>
    <w:p w14:paraId="0E3D219E">
      <w:pPr>
        <w:widowControl/>
        <w:shd w:val="clear" w:color="auto" w:fill="FFFFFF"/>
        <w:ind w:firstLine="321" w:firstLineChars="1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5A3F7566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本单位年初预算未安排项目支出，无重点项目说明。</w:t>
      </w:r>
    </w:p>
    <w:p w14:paraId="4F87C370">
      <w:pPr>
        <w:widowControl/>
        <w:shd w:val="clear" w:color="auto" w:fill="FFFFFF"/>
        <w:ind w:firstLine="321" w:firstLineChars="1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（四）部门管理转移支</w:t>
      </w:r>
      <w:bookmarkStart w:id="1" w:name="_GoBack"/>
      <w:bookmarkEnd w:id="1"/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付情况</w:t>
      </w:r>
    </w:p>
    <w:p w14:paraId="2661836B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年无单位管理转移支付，单位管理转移支付表为空表。”</w:t>
      </w:r>
    </w:p>
    <w:p w14:paraId="05FB70A6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（五）国有资本经营预算支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2"/>
          <w:szCs w:val="32"/>
        </w:rPr>
        <w:t>出情况</w:t>
      </w:r>
    </w:p>
    <w:p w14:paraId="6EA46E00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年使用国有资本经营预算拨款安排支出</w:t>
      </w:r>
      <w:r>
        <w:rPr>
          <w:rFonts w:ascii="仿宋_GB2312" w:hAnsi="Calibri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 w14:paraId="351CE39F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十、预算绩效管理情况</w:t>
      </w:r>
    </w:p>
    <w:p w14:paraId="30551AB6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2"/>
          <w:szCs w:val="32"/>
        </w:rPr>
        <w:t>（一）</w:t>
      </w:r>
      <w:r>
        <w:rPr>
          <w:rFonts w:hint="eastAsia" w:ascii="楷体_GB2312" w:hAnsi="Calibri" w:eastAsia="楷体_GB2312" w:cs="宋体"/>
          <w:b/>
          <w:bCs/>
          <w:color w:val="333333"/>
          <w:kern w:val="0"/>
          <w:sz w:val="32"/>
          <w:szCs w:val="32"/>
        </w:rPr>
        <w:t>202</w:t>
      </w:r>
      <w:r>
        <w:rPr>
          <w:rFonts w:hint="eastAsia" w:ascii="楷体_GB2312" w:hAnsi="Calibri" w:eastAsia="楷体_GB2312" w:cs="宋体"/>
          <w:b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2"/>
          <w:szCs w:val="32"/>
        </w:rPr>
        <w:t>年预算绩效管理工作情况。</w:t>
      </w:r>
    </w:p>
    <w:p w14:paraId="4BEE8AB0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194B6239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color w:val="333333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绩效目标管理情况。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年度，按照“谁申请资金，谁设置目标”的原则，纳入部门预算管理的单位整体支出和项目绩效目标</w:t>
      </w:r>
      <w:r>
        <w:rPr>
          <w:rFonts w:ascii="仿宋_GB2312" w:hAnsi="Calibri" w:eastAsia="仿宋_GB2312" w:cs="宋体"/>
          <w:kern w:val="0"/>
          <w:sz w:val="32"/>
          <w:szCs w:val="32"/>
        </w:rPr>
        <w:t>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个，按规定随年度预算一并公开项目</w:t>
      </w:r>
      <w:r>
        <w:rPr>
          <w:rFonts w:ascii="仿宋_GB2312" w:hAnsi="Calibri" w:eastAsia="仿宋_GB2312" w:cs="宋体"/>
          <w:kern w:val="0"/>
          <w:sz w:val="32"/>
          <w:szCs w:val="32"/>
        </w:rPr>
        <w:t>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个，公开率为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7C03E7D7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绩效运行监控情况。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月，组织开展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1-6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月绩效运行监控项目</w:t>
      </w:r>
      <w:r>
        <w:rPr>
          <w:rFonts w:ascii="仿宋_GB2312" w:hAnsi="Calibri" w:eastAsia="仿宋_GB2312" w:cs="宋体"/>
          <w:kern w:val="0"/>
          <w:sz w:val="32"/>
          <w:szCs w:val="32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个，占本单位项目的</w:t>
      </w:r>
      <w:r>
        <w:rPr>
          <w:rFonts w:ascii="仿宋_GB2312" w:hAnsi="Calibri" w:eastAsia="仿宋_GB2312" w:cs="宋体"/>
          <w:kern w:val="0"/>
          <w:sz w:val="32"/>
          <w:szCs w:val="32"/>
        </w:rPr>
        <w:t>61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。截至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月底，如期完成预算执行和绩效目标指标值的项目</w:t>
      </w:r>
      <w:r>
        <w:rPr>
          <w:rFonts w:ascii="仿宋_GB2312" w:hAnsi="Calibri" w:eastAsia="仿宋_GB2312" w:cs="宋体"/>
          <w:kern w:val="0"/>
          <w:sz w:val="32"/>
          <w:szCs w:val="32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个，完成率为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。“双监控”没发现问题。开展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1-9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月绩效运行监控项目</w:t>
      </w:r>
      <w:r>
        <w:rPr>
          <w:rFonts w:ascii="仿宋_GB2312" w:hAnsi="Calibri" w:eastAsia="仿宋_GB2312" w:cs="宋体"/>
          <w:kern w:val="0"/>
          <w:sz w:val="32"/>
          <w:szCs w:val="32"/>
        </w:rPr>
        <w:t>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个，占本部门（单位）项目的</w:t>
      </w:r>
      <w:r>
        <w:rPr>
          <w:rFonts w:ascii="仿宋_GB2312" w:hAnsi="Calibri" w:eastAsia="仿宋_GB2312" w:cs="宋体"/>
          <w:kern w:val="0"/>
          <w:sz w:val="32"/>
          <w:szCs w:val="32"/>
        </w:rPr>
        <w:t>100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。截至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1</w:t>
      </w:r>
      <w:r>
        <w:rPr>
          <w:rFonts w:ascii="仿宋_GB2312" w:hAnsi="Calibri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月底，如期完成预算执行和绩效目标指标值的项目</w:t>
      </w:r>
      <w:r>
        <w:rPr>
          <w:rFonts w:ascii="仿宋_GB2312" w:hAnsi="Calibri" w:eastAsia="仿宋_GB2312" w:cs="宋体"/>
          <w:kern w:val="0"/>
          <w:sz w:val="32"/>
          <w:szCs w:val="32"/>
        </w:rPr>
        <w:t>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个，完成率为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。“双监控”没发现问题。</w:t>
      </w:r>
    </w:p>
    <w:p w14:paraId="3CE219B8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绩效自评开展情况。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年度，组织开展绩效自评项目共</w:t>
      </w:r>
      <w:r>
        <w:rPr>
          <w:rFonts w:ascii="仿宋_GB2312" w:hAnsi="Calibri" w:eastAsia="仿宋_GB2312" w:cs="宋体"/>
          <w:kern w:val="0"/>
          <w:sz w:val="32"/>
          <w:szCs w:val="32"/>
        </w:rPr>
        <w:t>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个，其中，单位整体支出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个，项目支出</w:t>
      </w:r>
      <w:r>
        <w:rPr>
          <w:rFonts w:ascii="仿宋_GB2312" w:hAnsi="Calibri" w:eastAsia="仿宋_GB2312" w:cs="宋体"/>
          <w:kern w:val="0"/>
          <w:sz w:val="32"/>
          <w:szCs w:val="32"/>
        </w:rPr>
        <w:t>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个，转移支付项目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个，绩效自评覆盖率为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。绩效自评结果及时随部门决算报送财政和随决算公开情况。</w:t>
      </w:r>
    </w:p>
    <w:p w14:paraId="49017000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绩效结果应用情况。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根据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年度无增加减少部门预算项目，同时对政策和项目资金管理作出调整的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个。</w:t>
      </w:r>
    </w:p>
    <w:p w14:paraId="573286C4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2"/>
          <w:szCs w:val="32"/>
        </w:rPr>
        <w:t>（二）</w:t>
      </w:r>
      <w:r>
        <w:rPr>
          <w:rFonts w:hint="eastAsia" w:ascii="楷体_GB2312" w:hAnsi="Calibri" w:eastAsia="楷体_GB2312" w:cs="宋体"/>
          <w:b/>
          <w:bCs/>
          <w:color w:val="333333"/>
          <w:kern w:val="0"/>
          <w:sz w:val="32"/>
          <w:szCs w:val="32"/>
        </w:rPr>
        <w:t>202</w:t>
      </w:r>
      <w:r>
        <w:rPr>
          <w:rFonts w:hint="eastAsia" w:ascii="楷体_GB2312" w:hAnsi="Calibri" w:eastAsia="楷体_GB2312" w:cs="宋体"/>
          <w:b/>
          <w:bCs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2"/>
          <w:szCs w:val="32"/>
        </w:rPr>
        <w:t>年绩效目标编制情况</w:t>
      </w:r>
    </w:p>
    <w:p w14:paraId="4868F414"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年，纳入单位预算绩效目标管理的项目</w:t>
      </w:r>
      <w:r>
        <w:rPr>
          <w:rFonts w:ascii="仿宋_GB2312" w:hAnsi="Calibri" w:eastAsia="仿宋_GB2312" w:cs="宋体"/>
          <w:kern w:val="0"/>
          <w:sz w:val="32"/>
          <w:szCs w:val="32"/>
        </w:rPr>
        <w:t>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个、三级指标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个、三级指标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个。各项绩效目标内容指向明确、细化量化、合理可行，符合规定的格式要求。</w:t>
      </w:r>
    </w:p>
    <w:p w14:paraId="7D688C29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2"/>
          <w:szCs w:val="32"/>
        </w:rPr>
        <w:t>十一、名词解释</w:t>
      </w:r>
    </w:p>
    <w:p w14:paraId="2ED60C7D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财政拨款</w:t>
      </w: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指由一般公共预算、政府性基金预算、国有资本经营预算安排的财政拨款数。</w:t>
      </w:r>
    </w:p>
    <w:p w14:paraId="64A9DA2B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一般公共预算</w:t>
      </w: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包括公共财政拨款（补助）资金、专项收入。</w:t>
      </w:r>
    </w:p>
    <w:p w14:paraId="63239DC1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财政专户管理资金</w:t>
      </w: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包括专户管理行政事业性收费（主要是教育收费）、其他非税收入。</w:t>
      </w:r>
    </w:p>
    <w:p w14:paraId="6867D1CC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其他资金</w:t>
      </w: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包括事业收入、事业经营收入、其他收入等。</w:t>
      </w:r>
    </w:p>
    <w:p w14:paraId="71E87365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基本支出</w:t>
      </w: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包括人员经费、公用经费（定额）。其中，人员经费包括工资福利支出、对个人和家庭的补助。</w:t>
      </w:r>
    </w:p>
    <w:p w14:paraId="7D9FE64B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  <w:szCs w:val="32"/>
        </w:rPr>
        <w:t>6.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项目支出</w:t>
      </w: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7A52CE25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  <w:szCs w:val="32"/>
        </w:rPr>
        <w:t>7.“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三公”经费</w:t>
      </w: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55BB47DE">
      <w:pPr>
        <w:widowControl/>
        <w:shd w:val="clear" w:color="auto" w:fill="FFFFFF"/>
        <w:ind w:firstLine="643" w:firstLineChars="200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  <w:szCs w:val="32"/>
        </w:rPr>
        <w:t>8.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机关运行经费</w:t>
      </w: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0CC0F52E"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Calibri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甘州区退役军人事务局</w:t>
      </w:r>
      <w:r>
        <w:rPr>
          <w:rFonts w:hint="eastAsia" w:ascii="仿宋_GB2312" w:hAnsi="Calibri" w:eastAsia="仿宋_GB2312" w:cs="宋体"/>
          <w:spacing w:val="-20"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spacing w:val="-2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618A9DE8">
      <w:pPr>
        <w:widowControl/>
        <w:shd w:val="clear" w:color="auto" w:fill="FFFFFF"/>
        <w:ind w:firstLine="960" w:firstLineChars="3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2.甘州区退役军人事务局</w:t>
      </w:r>
      <w:r>
        <w:rPr>
          <w:rFonts w:ascii="仿宋_GB2312" w:hAnsi="Calibri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02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年单位整体支出绩效目标及预算项目绩效目标表</w:t>
      </w:r>
    </w:p>
    <w:p w14:paraId="1DD8AF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C7FDF"/>
    <w:multiLevelType w:val="singleLevel"/>
    <w:tmpl w:val="0C4C7FDF"/>
    <w:lvl w:ilvl="0" w:tentative="0">
      <w:start w:val="2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2ZkMGNmOWRjYTM0ZjZkODNkMTUwMmU1MDQxZjVkNzcifQ=="/>
  </w:docVars>
  <w:rsids>
    <w:rsidRoot w:val="00C6790F"/>
    <w:rsid w:val="00112024"/>
    <w:rsid w:val="001E34E1"/>
    <w:rsid w:val="002A7DD8"/>
    <w:rsid w:val="003021BD"/>
    <w:rsid w:val="0032490D"/>
    <w:rsid w:val="003B2A7B"/>
    <w:rsid w:val="003F1D6C"/>
    <w:rsid w:val="00411E6A"/>
    <w:rsid w:val="004956AB"/>
    <w:rsid w:val="004C6572"/>
    <w:rsid w:val="004F29C0"/>
    <w:rsid w:val="005966CB"/>
    <w:rsid w:val="00712AB9"/>
    <w:rsid w:val="00791FE9"/>
    <w:rsid w:val="00883F99"/>
    <w:rsid w:val="008851D0"/>
    <w:rsid w:val="008A5681"/>
    <w:rsid w:val="008B0DF6"/>
    <w:rsid w:val="008C147F"/>
    <w:rsid w:val="00987533"/>
    <w:rsid w:val="00A272EB"/>
    <w:rsid w:val="00A4238B"/>
    <w:rsid w:val="00C52AC3"/>
    <w:rsid w:val="00C6790F"/>
    <w:rsid w:val="00CD05F5"/>
    <w:rsid w:val="00D06DBE"/>
    <w:rsid w:val="00D35A04"/>
    <w:rsid w:val="00D43C13"/>
    <w:rsid w:val="00EC145B"/>
    <w:rsid w:val="1B1C713C"/>
    <w:rsid w:val="1C3D4D17"/>
    <w:rsid w:val="25E13544"/>
    <w:rsid w:val="26DE45A9"/>
    <w:rsid w:val="28681769"/>
    <w:rsid w:val="35BE4E8E"/>
    <w:rsid w:val="78E0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5">
    <w:name w:val="cjk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78627536113729"/>
                  <c:y val="-0.15429362090608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zh-CN" sz="105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highlight>
                          <a:srgbClr val="FFFF00"/>
                        </a:highlight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 sz="1050">
                        <a:highlight>
                          <a:srgbClr val="FFFF00"/>
                        </a:highlight>
                      </a:rPr>
                      <a:t>一般公共预算收</a:t>
                    </a:r>
                    <a:r>
                      <a:rPr lang="zh-CN" altLang="en-US" sz="1050">
                        <a:highlight>
                          <a:srgbClr val="FFFF00"/>
                        </a:highlight>
                      </a:rPr>
                      <a:t>入</a:t>
                    </a:r>
                    <a:endParaRPr lang="zh-CN" altLang="en-US" sz="1050">
                      <a:highlight>
                        <a:srgbClr val="FFFF00"/>
                      </a:highlight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105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FF00"/>
                      </a:highlight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392496838449"/>
                      <c:h val="0.0658878238046331"/>
                    </c:manualLayout>
                  </c15:layout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zh-CN" sz="105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highlight>
                          <a:srgbClr val="FFFF00"/>
                        </a:highlight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 sz="1050">
                        <a:highlight>
                          <a:srgbClr val="FFFF00"/>
                        </a:highlight>
                      </a:rPr>
                      <a:t>上年结转</a:t>
                    </a:r>
                    <a:endParaRPr lang="zh-CN" altLang="en-US" sz="1050">
                      <a:highlight>
                        <a:srgbClr val="FFFF00"/>
                      </a:highlight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105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FF00"/>
                      </a:highlight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6503827040883"/>
                      <c:h val="0.0513950701814447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highlight>
                      <a:srgbClr val="FFFF00"/>
                    </a:highlight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一般公共预算</c:v>
                </c:pt>
                <c:pt idx="1">
                  <c:v>上年结转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85.8</c:v>
                </c:pt>
                <c:pt idx="1">
                  <c:v>14.2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d2e8b0f-db46-48b5-aa9a-7db12bfd295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支出预算构成</a:t>
            </a:r>
            <a:endParaRPr lang="zh-CN" altLang="en-US"/>
          </a:p>
        </c:rich>
      </c:tx>
      <c:layout>
        <c:manualLayout>
          <c:xMode val="edge"/>
          <c:yMode val="edge"/>
          <c:x val="0.444618348182037"/>
          <c:y val="0.033023735810113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258328956773493"/>
                  <c:y val="-0.011721157137966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zh-CN" sz="105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highlight>
                          <a:srgbClr val="FFFF00"/>
                        </a:highlight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 sz="1050">
                        <a:highlight>
                          <a:srgbClr val="FFFF00"/>
                        </a:highlight>
                      </a:rPr>
                      <a:t>社会保障和就业支出</a:t>
                    </a:r>
                    <a:endParaRPr lang="zh-CN" altLang="en-US" sz="1050">
                      <a:highlight>
                        <a:srgbClr val="FFFF00"/>
                      </a:highlight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105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FF00"/>
                      </a:highlight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392496838449"/>
                      <c:h val="0.0658878238046331"/>
                    </c:manualLayout>
                  </c15:layout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zh-CN" sz="105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highlight>
                          <a:srgbClr val="FFFF00"/>
                        </a:highlight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 sz="1050">
                        <a:highlight>
                          <a:srgbClr val="FFFF00"/>
                        </a:highlight>
                      </a:rPr>
                      <a:t>住房保障支出</a:t>
                    </a:r>
                    <a:endParaRPr lang="zh-CN" altLang="en-US" sz="1050">
                      <a:highlight>
                        <a:srgbClr val="FFFF00"/>
                      </a:highlight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105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FF00"/>
                      </a:highlight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6503827040883"/>
                      <c:h val="0.0513950701814447"/>
                    </c:manualLayout>
                  </c15:layout>
                </c:ext>
              </c:extLst>
            </c:dLbl>
            <c:dLbl>
              <c:idx val="2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zh-CN" sz="105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highlight>
                          <a:srgbClr val="FFFF00"/>
                        </a:highlight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 sz="1050">
                        <a:highlight>
                          <a:srgbClr val="FFFF00"/>
                        </a:highlight>
                      </a:rPr>
                      <a:t>卫生健康支出</a:t>
                    </a:r>
                    <a:endParaRPr lang="zh-CN" altLang="en-US" sz="1050">
                      <a:highlight>
                        <a:srgbClr val="FFFF00"/>
                      </a:highlight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105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FF00"/>
                      </a:highlight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6144955453889"/>
                      <c:h val="0.0840037658336186"/>
                    </c:manualLayout>
                  </c15:layout>
                </c:ext>
              </c:extLst>
            </c:dLbl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highlight>
                      <a:srgbClr val="FFFF00"/>
                    </a:highlight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  <c:pt idx="3">
                  <c:v>第四季度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8.2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d2e8b0f-db46-48b5-aa9a-7db12bfd295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图3：“三公经费、会议费、培训费等财政拨款情况”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19419222609213"/>
                  <c:y val="-0.016145383401877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zh-CN" sz="900" b="1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/>
                      <a:t>会议费</a:t>
                    </a:r>
                    <a:endParaRPr lang="zh-CN" altLang="en-US"/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1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1131712015411"/>
                      <c:h val="0.0671392453896019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152795531548203"/>
                  <c:y val="0.019625932585198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zh-CN" sz="900" b="1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/>
                      <a:t>三公经费</a:t>
                    </a:r>
                    <a:endParaRPr lang="zh-CN" altLang="en-US"/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1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763303635926"/>
                      <c:h val="0.0566405577255599"/>
                    </c:manualLayout>
                  </c15:layout>
                </c:ext>
              </c:extLst>
            </c:dLbl>
            <c:dLbl>
              <c:idx val="2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zh-CN" sz="900" b="1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>
                        <a:solidFill>
                          <a:srgbClr val="FF0000"/>
                        </a:solidFill>
                      </a:rPr>
                      <a:t>培训费</a:t>
                    </a:r>
                    <a:endParaRPr lang="zh-CN" altLang="en-US">
                      <a:solidFill>
                        <a:srgbClr val="FF0000"/>
                      </a:solidFill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900" b="1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0794606308692511"/>
                      <c:h val="0.0743034055727554"/>
                    </c:manualLayout>
                  </c15:layout>
                </c:ext>
              </c:extLst>
            </c:dLbl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8.2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5930fb4-04ba-44be-91fe-2319e5e0314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b="1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4681</Words>
  <Characters>5039</Characters>
  <Lines>36</Lines>
  <Paragraphs>10</Paragraphs>
  <TotalTime>2</TotalTime>
  <ScaleCrop>false</ScaleCrop>
  <LinksUpToDate>false</LinksUpToDate>
  <CharactersWithSpaces>5047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2024-03-04T02:03:00Z</dcterms:created>
  <dc:creator>Windows 用户</dc:creator>
  <cp:lastModifiedBy>微信用户</cp:lastModifiedBy>
  <cp:lastPrinted>2025-02-28T06:45:00Z</cp:lastPrinted>
  <dcterms:modified xsi:type="dcterms:W3CDTF">2026-03-24T06:45:53Z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25A93B46EFA54884819294E0E46D8B38_12</vt:lpwstr>
  </property>
  <property fmtid="{D5CDD505-2E9C-101B-9397-08002B2CF9AE}" pid="4" name="KSOTemplateDocerSaveRecord">
    <vt:lpwstr>eyJoZGlkIjoiN2ZkMGNmOWRjYTM0ZjZkODNkMTUwMmU1MDQxZjVkNzciLCJ1c2VySWQiOiIxMjkwMjI1MzEwIn0=</vt:lpwstr>
  </property>
</Properties>
</file>