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471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7" w:right="147"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</w:p>
    <w:p w14:paraId="0C3B03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7" w:right="147"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eastAsia="zh-CN"/>
        </w:rPr>
        <w:t>甘州区社会保险事业服务中心</w:t>
      </w:r>
    </w:p>
    <w:p w14:paraId="1BF0D7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7" w:right="147" w:firstLine="482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</w:rPr>
        <w:t>年部门预算公开情况说明</w:t>
      </w:r>
    </w:p>
    <w:p w14:paraId="004ECF8E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6735A30E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目  录</w:t>
      </w:r>
    </w:p>
    <w:p w14:paraId="0B28CF3D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第一部分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部门基本概况</w:t>
      </w:r>
    </w:p>
    <w:p w14:paraId="1EFD1464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一、部门职责</w:t>
      </w:r>
    </w:p>
    <w:p w14:paraId="5CA15512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二、机构设置情况</w:t>
      </w:r>
    </w:p>
    <w:p w14:paraId="072F09EF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第二部分202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年部门预算情况说明</w:t>
      </w:r>
    </w:p>
    <w:p w14:paraId="1C916379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一、收支总体情况</w:t>
      </w:r>
    </w:p>
    <w:p w14:paraId="4436408D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二、一般公共预算情况</w:t>
      </w:r>
    </w:p>
    <w:p w14:paraId="06D01005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三、一般公共预算财政拨款“三公”经费、培训费、会议费等情况</w:t>
      </w:r>
    </w:p>
    <w:p w14:paraId="7B751996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四、一般公共预算财政拨款机关运行经费情况</w:t>
      </w:r>
    </w:p>
    <w:p w14:paraId="1E16E136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五、政府采购安排情况</w:t>
      </w:r>
    </w:p>
    <w:p w14:paraId="42245FB4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六、国有资产占用情况</w:t>
      </w:r>
    </w:p>
    <w:p w14:paraId="59AC4778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七、其他重要事项情况说明</w:t>
      </w:r>
    </w:p>
    <w:p w14:paraId="3F9D34CB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八、预算绩效管理情况</w:t>
      </w:r>
    </w:p>
    <w:p w14:paraId="2E4DB6CF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九、名词解释</w:t>
      </w:r>
    </w:p>
    <w:p w14:paraId="74194A68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第三部分202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年部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eastAsia="zh-CN"/>
        </w:rPr>
        <w:t>门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预算公开表</w:t>
      </w:r>
    </w:p>
    <w:p w14:paraId="103EC851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一、部门收支总体情况表</w:t>
      </w:r>
    </w:p>
    <w:p w14:paraId="5F275C4F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二、部门收入总体情况表</w:t>
      </w:r>
    </w:p>
    <w:p w14:paraId="01E341A9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三、部门支出总体情况表</w:t>
      </w:r>
    </w:p>
    <w:p w14:paraId="47D2FFBC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四、财政拨款收支总体情况表</w:t>
      </w:r>
    </w:p>
    <w:p w14:paraId="1DCADD3E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五、财政拨款支出表</w:t>
      </w:r>
    </w:p>
    <w:p w14:paraId="5D18F94D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六、一般公共预算支出情况表</w:t>
      </w:r>
    </w:p>
    <w:p w14:paraId="703D2107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七、一般公共预算基本支出情况表</w:t>
      </w:r>
    </w:p>
    <w:p w14:paraId="5D011A03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八、一般公共预算财政拨款“三公”经费、会议费、培训费支出情况表</w:t>
      </w:r>
    </w:p>
    <w:p w14:paraId="75189742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九、一般公共预算财政拨款机关运行经费表</w:t>
      </w:r>
    </w:p>
    <w:p w14:paraId="4A3762CC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十、政府性基金预算支出情况表</w:t>
      </w:r>
    </w:p>
    <w:p w14:paraId="343935F2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十一、部门管理转移支付表</w:t>
      </w:r>
    </w:p>
    <w:p w14:paraId="791FBFA3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十二、国有资本经营预算支出情况表</w:t>
      </w:r>
    </w:p>
    <w:p w14:paraId="7B518715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十三、部门整体支出绩效目标表和</w:t>
      </w:r>
      <w:bookmarkStart w:id="0" w:name="OLE_LINK1"/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项目支出绩效目标表</w:t>
      </w:r>
      <w:bookmarkEnd w:id="0"/>
    </w:p>
    <w:p w14:paraId="1F9780AD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265B2892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59868B47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2665BE9A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39EE1AF8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0858C958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374C8D18">
      <w:pPr>
        <w:widowControl/>
        <w:shd w:val="clear" w:color="auto" w:fill="FFFFFF"/>
        <w:spacing w:line="480" w:lineRule="atLeast"/>
        <w:ind w:left="150" w:right="150" w:firstLine="48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 w14:paraId="2BC47350">
      <w:pPr>
        <w:widowControl/>
        <w:shd w:val="clear" w:color="auto" w:fill="FFFFFF"/>
        <w:spacing w:line="480" w:lineRule="atLeast"/>
        <w:ind w:right="150"/>
        <w:jc w:val="center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前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言</w:t>
      </w:r>
    </w:p>
    <w:p w14:paraId="21DFDC30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按照《中华人民共和国预算法》《中华人民共和国预算法实施条例》以及财政部《地方预决算公开操作规程》《关于推进部门所属单位预算公开的指导意见》和《中共甘肃省委办公厅ﻪ甘肃省人民政府办公厅关于进一步推进预算公开工作的实施方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》的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要求，现将202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年部门预算公开如下：</w:t>
      </w:r>
    </w:p>
    <w:p w14:paraId="1E17DD52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一、部门职责</w:t>
      </w:r>
    </w:p>
    <w:p w14:paraId="49DDF88C">
      <w:pPr>
        <w:widowControl/>
        <w:shd w:val="clear" w:color="auto" w:fill="FFFFFF"/>
        <w:spacing w:line="480" w:lineRule="atLeast"/>
        <w:ind w:right="15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甘州区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社会保险事业服务中心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负责贯彻执行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党和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国家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及省市关于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社会保险法律法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规和方针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政策；根据上级业务部门的总体规划和工作要点，制定全区社会保险工作年度计划、工作目标和实施方案；负责全区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养老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保险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、失业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保险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、工伤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村干部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养老保险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、失地农民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养老保险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、城乡居民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基本养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老保险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参保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登记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社保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稽核、待遇支付管理服务等工作；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社会保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险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基金管理，落实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、决算计划；落实劳动保障的政策规定，确保企业离退休人员、五七工、家属工、失地农民基本养老保险金按时足额发放，推动社会劳动保障事业的健康发展；承办区委、区政府和上级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  <w:lang w:eastAsia="zh-CN"/>
        </w:rPr>
        <w:t>业务主管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部门交办的其他事项。</w:t>
      </w:r>
    </w:p>
    <w:p w14:paraId="51074668">
      <w:pPr>
        <w:widowControl/>
        <w:shd w:val="clear" w:color="auto" w:fill="FFFFFF"/>
        <w:spacing w:line="480" w:lineRule="atLeast"/>
        <w:ind w:left="150" w:right="150" w:firstLine="480"/>
        <w:jc w:val="both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二、机构设置情况</w:t>
      </w:r>
    </w:p>
    <w:p w14:paraId="41DE3004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  <w:t>（一）机关内设机构</w:t>
      </w:r>
    </w:p>
    <w:p w14:paraId="42A1B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甘州区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社会保险事业服务中心设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个内设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室，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即：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办公室、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基金统计股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城乡居民养老保险股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待遇支付股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参保核定股、综合业务股、机关事业养老股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1AA35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（二）参照公务员法管理单位</w:t>
      </w:r>
    </w:p>
    <w:p w14:paraId="5DB4C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我单位属于参照公务员法管理单位，实有在职人数24人，退休人数5人。</w:t>
      </w:r>
    </w:p>
    <w:p w14:paraId="70AE1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三、部门／单位收支总体情况</w:t>
      </w:r>
    </w:p>
    <w:p w14:paraId="01732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按照预算管理有关规定，2026年部门收支包括机关预算在内的汇总情况。</w:t>
      </w:r>
    </w:p>
    <w:p w14:paraId="11AAC6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部门收支总预算35622.21万元。按照综合预算的原则，部门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17A09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（一）收入预算</w:t>
      </w:r>
    </w:p>
    <w:p w14:paraId="7478A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2026年收入预算35622.21万元（详见部门／单位预算公开表1，2）。包括：</w:t>
      </w:r>
    </w:p>
    <w:p w14:paraId="541A29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一般公共预算收入29085.26万元，占81.65％；</w:t>
      </w:r>
    </w:p>
    <w:p w14:paraId="6E229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政府性基金预算收入0万元，占0％；</w:t>
      </w:r>
    </w:p>
    <w:p w14:paraId="03A803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上年结转收入6536.94万元，占18.35％；</w:t>
      </w:r>
    </w:p>
    <w:p w14:paraId="48E6B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其他收入0万元，占0％。</w:t>
      </w:r>
    </w:p>
    <w:p w14:paraId="53EC14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（二）支出预算</w:t>
      </w:r>
    </w:p>
    <w:p w14:paraId="183318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2026年支出预算35622.21万元（详见部门／单位预算公开表3）。其中：基本支出444.41万元，占1.25％；项目支出28640.85万元，占80.4％；上年结转生态功能区转移支付资金6536.94万元，占18.35％。</w:t>
      </w:r>
    </w:p>
    <w:p w14:paraId="09A354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四、一般公共预算情况</w:t>
      </w:r>
    </w:p>
    <w:p w14:paraId="02AD0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一般公共预算当年支出29085.26万元，包括：社会保障和就业支出29030.35万元、医疗卫生和计划生育支出22.28万元、住房保障支出32.64万元、公共安全支出0万元、教育支出0万元、科学技术支出0万元、其他支出0万元。具体安排情况如下（详见部门（单位）预算公开表4，5，6，7）：</w:t>
      </w:r>
    </w:p>
    <w:p w14:paraId="7981B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（一）基本支出</w:t>
      </w:r>
    </w:p>
    <w:p w14:paraId="322AE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2026年基本支出444.41万元，比2025年预算增加15.49万元，增长3.6％，增长的主要原因是工资调标、社会保险及住房公积金增加。</w:t>
      </w:r>
    </w:p>
    <w:p w14:paraId="2B6B2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其中：人员经费支出393.95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退职（役）费、抚恤金、生活补助、救济费、医疗费补助、助学金、奖励金、个人农业生产补贴、代缴社会保险费ﻪ、其他对个人和家庭的补助等。</w:t>
      </w:r>
    </w:p>
    <w:p w14:paraId="3A8BA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公用经费支出50.46万元，主要包括：办公费、印刷费、咨询费、手续费、水费、电费、邮电费、取暖费、物业管理费、差旅费、因公出国（境）费、维修（护）费、租赁费、会议费、培训费、公务接待费、专用材料费、被装购置费、专用燃料费、劳务费、委托业务费、工会经费、福利费、公务用车运行维护费、其他交通费用、税金及附加费用、其他商品和服务支出、办公设备购置、专用设备购置等。</w:t>
      </w:r>
    </w:p>
    <w:p w14:paraId="777CA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（二）项目支出</w:t>
      </w:r>
    </w:p>
    <w:p w14:paraId="7E9F9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2026年一般公共预算财政拨款项目支出预算28640.85万元，比2025年预算减少4525.63万元，减幅为13.6%，主要是上年结转生态功能区转移支付资金6536.94万元。</w:t>
      </w:r>
    </w:p>
    <w:p w14:paraId="010F2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（三）支出功能分类说明</w:t>
      </w:r>
    </w:p>
    <w:p w14:paraId="463301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1.社会保障和就业支出35567.29万元，与上年相比增加2025.59万元，增幅为6％，增加的主要原因是对养老保险的补助增加。</w:t>
      </w:r>
    </w:p>
    <w:p w14:paraId="31135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2.卫生健康支出22.28万元；与上年相比减少0.39万元，减幅为5.6％，减少的主要原因是退休人员医保缴费期满终止。</w:t>
      </w:r>
    </w:p>
    <w:p w14:paraId="0B325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3.住房保障支出（住房公积金）32.64万元。与上年相比增加1.6万元，增幅为5.2％，增加的主要原因是公积金基数增长。</w:t>
      </w:r>
    </w:p>
    <w:p w14:paraId="59934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53E67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（一）“三公”经费情况说明</w:t>
      </w:r>
    </w:p>
    <w:p w14:paraId="7DEB3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年预算，未安排“三公”经费，相关表格为空表。</w:t>
      </w:r>
    </w:p>
    <w:p w14:paraId="7B39F9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1.因公出国（境）费用0.00万元，与上年持平。</w:t>
      </w:r>
    </w:p>
    <w:p w14:paraId="27B324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2.公务接待费0.00万元，与上年持平。</w:t>
      </w:r>
    </w:p>
    <w:p w14:paraId="6F980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3.公务用车购置及运行维护费0.00万元（其中：公务用车购置0.00万元，公务用车运行维护费0.00万元），与上年持平。</w:t>
      </w:r>
    </w:p>
    <w:p w14:paraId="43839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（二）培训费预算情况说明</w:t>
      </w:r>
    </w:p>
    <w:p w14:paraId="3D8E9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4.培训费0万元，与202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年一致。</w:t>
      </w:r>
    </w:p>
    <w:p w14:paraId="5119F6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（三）会议费预算情况说明</w:t>
      </w:r>
    </w:p>
    <w:p w14:paraId="605BEF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5.会议费0万元，与202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年一致。</w:t>
      </w:r>
    </w:p>
    <w:p w14:paraId="1FB70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六、一般公共预算财政拨款机关运行经费情况</w:t>
      </w:r>
    </w:p>
    <w:p w14:paraId="09DBC9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机关运行经费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35.19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万元（不含福利费、取暖费等），较202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0.74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2.1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％，增长的主要原因是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公用经费减少。</w:t>
      </w:r>
    </w:p>
    <w:p w14:paraId="08CA30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七、政府采购安排情况</w:t>
      </w:r>
    </w:p>
    <w:p w14:paraId="5A87B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年，部门政府采购预算总额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万元，其中：政府采购货物预算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万元，政府采购工程预算0万元，政府采购服务预算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 w14:paraId="2A408B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年，部门面向中小企业预留政府采购项目预算金额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万元，小微企业预留政府采购项目预算金额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</w:p>
    <w:p w14:paraId="01EDB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八、国有资产占用情况</w:t>
      </w:r>
    </w:p>
    <w:p w14:paraId="59D6C5F7">
      <w:pPr>
        <w:widowControl/>
        <w:spacing w:line="420" w:lineRule="atLeas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上年末固定资产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原值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131.77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万元。其中：办公用房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平方米，价值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万元。部门及所属预算单位共有公务用车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辆，价值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通用设备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179件，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价值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104.77万元。家具、用具、装具286件，价值27万元。</w:t>
      </w:r>
    </w:p>
    <w:p w14:paraId="51AB52BC">
      <w:pPr>
        <w:widowControl/>
        <w:spacing w:line="420" w:lineRule="atLeast"/>
        <w:ind w:firstLine="640"/>
        <w:jc w:val="left"/>
        <w:textAlignment w:val="center"/>
        <w:rPr>
          <w:rFonts w:hint="eastAsia" w:ascii="Helvetica" w:hAnsi="Helvetica" w:eastAsia="宋体" w:cs="Helvetic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202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年度各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eastAsia="zh-CN"/>
        </w:rPr>
        <w:t>股室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拟购置固定资产总额为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val="en-US" w:eastAsia="zh-CN"/>
        </w:rPr>
        <w:t>5.5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万元，主要为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  <w:lang w:eastAsia="zh-CN"/>
        </w:rPr>
        <w:t>台式计算机、</w:t>
      </w:r>
      <w:r>
        <w:rPr>
          <w:rFonts w:hint="eastAsia" w:ascii="仿宋" w:hAnsi="仿宋" w:eastAsia="仿宋" w:cs="Helvetica"/>
          <w:color w:val="auto"/>
          <w:kern w:val="0"/>
          <w:sz w:val="32"/>
          <w:szCs w:val="32"/>
        </w:rPr>
        <w:t>打印设备等，已列入政府采购预算。</w:t>
      </w:r>
    </w:p>
    <w:p w14:paraId="12BADB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九、其他重要事项情况说明</w:t>
      </w:r>
    </w:p>
    <w:p w14:paraId="03D43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（一）政府性基金预算支出情况</w:t>
      </w:r>
    </w:p>
    <w:p w14:paraId="70101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未安排预算，政府性基金预算支出情况表为空表。</w:t>
      </w:r>
    </w:p>
    <w:p w14:paraId="302148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（二）非税收入情况</w:t>
      </w:r>
    </w:p>
    <w:p w14:paraId="2731B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年无非税收入。</w:t>
      </w:r>
    </w:p>
    <w:p w14:paraId="73398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（三）重点项目情况</w:t>
      </w:r>
    </w:p>
    <w:p w14:paraId="36DB6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本部门／单位年初预算项目支出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均为对社会保险基金等项目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，无重点项目说明。</w:t>
      </w:r>
    </w:p>
    <w:p w14:paraId="4B5BE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（四）部门管理转移支付情况</w:t>
      </w:r>
    </w:p>
    <w:p w14:paraId="5BEA2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未安排预算，部门／单位管理转移支付表为空表。</w:t>
      </w:r>
    </w:p>
    <w:p w14:paraId="0F360D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（五）国有资本经营预算支出情况</w:t>
      </w:r>
    </w:p>
    <w:p w14:paraId="0D7F6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未安排预算，国有资本经营预算支出情况表为空表。</w:t>
      </w:r>
    </w:p>
    <w:p w14:paraId="0465FBD1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十、预算绩效管理情况</w:t>
      </w:r>
    </w:p>
    <w:p w14:paraId="4EBE1C9F">
      <w:pPr>
        <w:widowControl/>
        <w:shd w:val="clear" w:color="auto" w:fill="FFFFFF"/>
        <w:spacing w:line="480" w:lineRule="atLeast"/>
        <w:ind w:left="150" w:right="150" w:firstLine="480"/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（一）202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  <w:lang w:eastAsia="zh-CN"/>
        </w:rPr>
        <w:t>年度</w:t>
      </w:r>
      <w:r>
        <w:rPr>
          <w:rFonts w:hint="eastAsia" w:ascii="楷体_GB2312" w:hAnsi="楷体_GB2312" w:eastAsia="楷体_GB2312" w:cs="楷体_GB2312"/>
          <w:b/>
          <w:bCs/>
          <w:color w:val="333333"/>
          <w:kern w:val="0"/>
          <w:sz w:val="32"/>
          <w:szCs w:val="32"/>
        </w:rPr>
        <w:t>预算绩效管理工作情况</w:t>
      </w:r>
    </w:p>
    <w:p w14:paraId="58F56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中共中央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国务院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《关于全面实施预算绩效管理的意见》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中共甘肃省委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甘肃省人民政府《关于全面实施预算绩效管理的实施意见》等相关要求，我们将绩效理念和方法融入预算编制、执行、决算和监督全过程认真开展各项工作。</w:t>
      </w:r>
    </w:p>
    <w:p w14:paraId="6BF88B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绩效目标管理情况。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年度，按照“谁申请资金，谁设置目标”的原则，纳入部门预算管理的部门整体支出和项目绩效目标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个，按规定随年度预算一并公开项目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个，公开率为100％。</w:t>
      </w:r>
    </w:p>
    <w:p w14:paraId="21EA68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绩效运行监控情况。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年7月，组织开展1－6月绩效运行监控项目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个，占本部门项目的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％。截至7月底，如期完成预算执行和绩效目标指标值的项目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个，完成率为100％。“双监控”没有发现存在的问题。开展1－9月绩效运行监控项目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个，占本部门（单位）项目的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％。截至10月底，如期完成预算执行和绩效目标指标值的项目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个，完成率为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65.35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％。“双监控”发现存在的问题和主要原因是：预算绩效目标年初设定不精准，部分项目进展缓慢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、部分项目为年底一次性项目等原因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116780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绩效自评开展情况。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年度，组织开展绩效自评项目共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个，其中，部门整体支出1个，项目支出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个，转移支付项目0个，绩效自评覆盖率为100％。绩效自评结果随部门决算报送财政和随决算公开情况：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个项目全部进行了公开，公开率100％。</w:t>
      </w:r>
    </w:p>
    <w:p w14:paraId="0219BC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绩效结果应用情况。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年度绩效运行监控、绩效自评等情况，当年盘活财政资金0万元，202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年度部门预算项目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数合并减少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 w14:paraId="5E433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（二）202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color w:val="auto"/>
          <w:kern w:val="0"/>
          <w:sz w:val="32"/>
          <w:szCs w:val="32"/>
        </w:rPr>
        <w:t>年绩效目标编制情况</w:t>
      </w:r>
    </w:p>
    <w:p w14:paraId="1C0C3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年，纳入部门预算绩效目标管理的项目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个。其中，部门整体支出绩效目标围绕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基本运行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重点履职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部门综合、可持续发展能力四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个维度，设置二级指标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个、三级指标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个。各项绩效目标内容指向明确、细化量化、合理可行，符合规定的格式要求。</w:t>
      </w:r>
    </w:p>
    <w:p w14:paraId="43467A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十一、名词解释</w:t>
      </w:r>
    </w:p>
    <w:p w14:paraId="7BF6D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财政拨款：指由一般公共预算、政府性基金预算、国有资本经营预算安排的财政拨款数。</w:t>
      </w:r>
    </w:p>
    <w:p w14:paraId="44A9A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一般公共预算：包括公共财政拨款（补助）资金、专项收入。</w:t>
      </w:r>
    </w:p>
    <w:p w14:paraId="1D4D0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财政专户管理资金：包括专户管理行政事业性收费（主要是教育收费）、其他非税收入。</w:t>
      </w:r>
    </w:p>
    <w:p w14:paraId="4EBBB4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其他资金：包括事业收入、事业经营收入、其他收入等。</w:t>
      </w:r>
    </w:p>
    <w:p w14:paraId="057FB4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基本支出：包括人员经费、公用经费（定额）。其中，人员经费包括工资福利支出、对个人和家庭的补助。</w:t>
      </w:r>
    </w:p>
    <w:p w14:paraId="1C1E7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项目支出：部门（单位）支出预算的组成部分，是各部门（单位）为完成其特定的行政任务或事业发展目标，在基本支出预算之外编制的年度项目支出计划。</w:t>
      </w:r>
    </w:p>
    <w:p w14:paraId="018E1A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“三公”经费：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AE494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机关运行经费：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457073EC">
      <w:pPr>
        <w:widowControl/>
        <w:shd w:val="clear" w:color="auto" w:fill="FFFFFF"/>
        <w:spacing w:line="480" w:lineRule="atLeast"/>
        <w:ind w:right="1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EA39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1A3DA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6" w:firstLineChars="1402"/>
        <w:jc w:val="left"/>
        <w:textAlignment w:val="center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eastAsia="zh-CN"/>
        </w:rPr>
        <w:t>甘州区社会保险事业服务中心</w:t>
      </w:r>
    </w:p>
    <w:p w14:paraId="06A009EF">
      <w:pPr>
        <w:widowControl/>
        <w:shd w:val="clear" w:color="auto" w:fill="FFFFFF"/>
        <w:spacing w:line="480" w:lineRule="atLeast"/>
        <w:ind w:right="150" w:firstLine="5440" w:firstLineChars="1700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日</w:t>
      </w:r>
    </w:p>
    <w:p w14:paraId="10AE80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bookmarkStart w:id="1" w:name="_GoBack"/>
      <w:bookmarkEnd w:id="1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4B"/>
    <w:rsid w:val="000C544B"/>
    <w:rsid w:val="001C3E57"/>
    <w:rsid w:val="003B2A7B"/>
    <w:rsid w:val="00411E6A"/>
    <w:rsid w:val="00B23640"/>
    <w:rsid w:val="00D46786"/>
    <w:rsid w:val="011D74E8"/>
    <w:rsid w:val="09BB0B64"/>
    <w:rsid w:val="0C3C49A0"/>
    <w:rsid w:val="0F147FC6"/>
    <w:rsid w:val="1D931911"/>
    <w:rsid w:val="36B47254"/>
    <w:rsid w:val="3ACA5223"/>
    <w:rsid w:val="3BC3770B"/>
    <w:rsid w:val="410C2859"/>
    <w:rsid w:val="475110C7"/>
    <w:rsid w:val="4A6178AF"/>
    <w:rsid w:val="4B0A4D61"/>
    <w:rsid w:val="4D6B7240"/>
    <w:rsid w:val="501D77F1"/>
    <w:rsid w:val="51062E60"/>
    <w:rsid w:val="51730589"/>
    <w:rsid w:val="523F4857"/>
    <w:rsid w:val="57E55316"/>
    <w:rsid w:val="59D72A04"/>
    <w:rsid w:val="60DC4F84"/>
    <w:rsid w:val="618C69BC"/>
    <w:rsid w:val="711518DF"/>
    <w:rsid w:val="72A9667D"/>
    <w:rsid w:val="75C22E85"/>
    <w:rsid w:val="779C35DB"/>
    <w:rsid w:val="7E87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4211</Words>
  <Characters>4570</Characters>
  <Lines>33</Lines>
  <Paragraphs>9</Paragraphs>
  <TotalTime>26</TotalTime>
  <ScaleCrop>false</ScaleCrop>
  <LinksUpToDate>false</LinksUpToDate>
  <CharactersWithSpaces>4597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2025-02-17T09:30:00Z</dcterms:created>
  <dc:creator>Windows 用户</dc:creator>
  <cp:lastModifiedBy>黄红梅</cp:lastModifiedBy>
  <dcterms:modified xsi:type="dcterms:W3CDTF">2026-03-24T07:12:22Z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eyJoZGlkIjoiZWIzZTkxZmY2NTNlZjY5ZDRiNjUzNDNhZjA1MDQ4MmMiLCJ1c2VySWQiOiI1NDUxNzU2MzUifQ==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EB292330E2624955B5D714808F96070A_12</vt:lpwstr>
  </property>
</Properties>
</file>