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82B4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4948B6C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F606A33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AC74FF3">
      <w:pPr>
        <w:spacing w:line="660" w:lineRule="exact"/>
        <w:jc w:val="center"/>
        <w:rPr>
          <w:rFonts w:hint="eastAsia" w:ascii="仿宋_GB2312" w:hAnsi="仿宋_GB2312" w:eastAsia="仿宋_GB2312" w:cs="仿宋_GB2312"/>
          <w:b/>
          <w:bCs/>
          <w:color w:val="FF0000"/>
          <w:kern w:val="0"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40"/>
          <w:szCs w:val="40"/>
          <w:lang w:eastAsia="zh-CN"/>
        </w:rPr>
        <w:t>甘州区红沙窝林场</w:t>
      </w:r>
    </w:p>
    <w:p w14:paraId="6C66471C">
      <w:pPr>
        <w:spacing w:line="660" w:lineRule="exact"/>
        <w:jc w:val="center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</w:rPr>
        <w:t>年部门/单位预算公开情况说明</w:t>
      </w:r>
    </w:p>
    <w:p w14:paraId="22CB667A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3791A0E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1B31DDD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4BCE60C2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250918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77A416B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788A8C0C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3093DE1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一、收支总体情况</w:t>
      </w:r>
    </w:p>
    <w:p w14:paraId="3E48612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二、一般公共预算情况</w:t>
      </w:r>
    </w:p>
    <w:p w14:paraId="55E984B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三、一般公共预算财政拨款“三公”经费、培训费、会议费等情况</w:t>
      </w:r>
    </w:p>
    <w:p w14:paraId="1F8AFC7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四、一般公共预算财政拨款机关运行经费情况</w:t>
      </w:r>
    </w:p>
    <w:p w14:paraId="79A4727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五、政府采购安排情况</w:t>
      </w:r>
    </w:p>
    <w:p w14:paraId="1CFE13B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六、国有资产占用情况</w:t>
      </w:r>
    </w:p>
    <w:p w14:paraId="697C76E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七、其他重要事项情况说明</w:t>
      </w:r>
    </w:p>
    <w:p w14:paraId="13503F6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八、预算绩效管理情况</w:t>
      </w:r>
    </w:p>
    <w:p w14:paraId="4F74AAA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九、名词解释</w:t>
      </w:r>
    </w:p>
    <w:p w14:paraId="7C954F80">
      <w:pPr>
        <w:spacing w:line="560" w:lineRule="exact"/>
        <w:ind w:firstLine="602" w:firstLineChars="200"/>
        <w:jc w:val="left"/>
        <w:rPr>
          <w:rFonts w:hint="eastAsia"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附件：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1.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495D6392">
      <w:pPr>
        <w:spacing w:line="560" w:lineRule="exact"/>
        <w:ind w:firstLine="1506" w:firstLineChars="500"/>
        <w:jc w:val="left"/>
        <w:rPr>
          <w:rFonts w:hint="eastAsia"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2.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部门/单位整体支出绩效目标表和项目支出绩效目标表</w:t>
      </w:r>
    </w:p>
    <w:p w14:paraId="0A0ABD6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4ADA3541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304C339F">
      <w:pPr>
        <w:spacing w:line="600" w:lineRule="exact"/>
        <w:ind w:firstLine="4498" w:firstLineChars="14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3024EB09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7EDEA181">
      <w:pPr>
        <w:spacing w:line="60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一、部门/单位职责</w:t>
      </w:r>
    </w:p>
    <w:p w14:paraId="77BC508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宣传、贯彻和执行党和国家的林业方针政策及法律法规、制定生态公益林保护工程实施方案并组织实施；依法管理、保护林地林木和野生动植物资源。</w:t>
      </w:r>
    </w:p>
    <w:p w14:paraId="6F91A37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林区林政执法、森林防火、林业有害生物防治。</w:t>
      </w:r>
    </w:p>
    <w:p w14:paraId="0B55C61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林区森林资源监测、调查规划、编制造林作业设计、抚育改造作业设计、林区基础设施建设规划等工作。</w:t>
      </w:r>
    </w:p>
    <w:p w14:paraId="26CDB7D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辖区造林、育苗、林木抚育、退化林风改造等林木资源培育工作。</w:t>
      </w:r>
    </w:p>
    <w:p w14:paraId="3FD8CDA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林木良种引种、试验、推广和技术研究。</w:t>
      </w:r>
    </w:p>
    <w:p w14:paraId="08F6ADC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完成甘州区林业和草原局交办的其他工作。</w:t>
      </w:r>
    </w:p>
    <w:p w14:paraId="164DC0AC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1F60968D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5EFC661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甘州区红沙窝林场现有办公室、资源管护队，营林绿化队。</w:t>
      </w:r>
    </w:p>
    <w:p w14:paraId="302DA0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机构情况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我场为公益一类事业单位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263D8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：我场现有在职在编职工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23人，退休人员11人，遗属6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8B7D13E">
      <w:pPr>
        <w:spacing w:line="600" w:lineRule="exact"/>
        <w:ind w:firstLine="643" w:firstLineChars="200"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4330F9A2">
      <w:pPr>
        <w:spacing w:line="600" w:lineRule="exact"/>
        <w:ind w:firstLine="640" w:firstLineChars="200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甘州区红沙窝林场无参照公务员法管理单位。</w:t>
      </w:r>
    </w:p>
    <w:p w14:paraId="59B78109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60798F4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甘州区红沙窝林场无直属事业单位。</w:t>
      </w:r>
    </w:p>
    <w:p w14:paraId="2019BFAE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5498EC7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067E9BD">
      <w:pPr>
        <w:spacing w:line="600" w:lineRule="exact"/>
        <w:ind w:firstLine="640" w:firstLineChars="200"/>
        <w:rPr>
          <w:rFonts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418.77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一般公共预算拨款收入；支出包括：社会保障和就业支出、卫生健康支出、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农林水支出、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住房保障支出。</w:t>
      </w:r>
    </w:p>
    <w:p w14:paraId="6033CED5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0B156861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年收入预算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418.77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万元（详见部门/单位预算公开表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）。包括：一般公共预算收入 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418.77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万元，占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%。</w:t>
      </w:r>
    </w:p>
    <w:p w14:paraId="1C57DF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0430BE05">
      <w:pPr>
        <w:widowControl/>
        <w:adjustRightInd w:val="0"/>
        <w:snapToGrid w:val="0"/>
        <w:spacing w:line="640" w:lineRule="exact"/>
        <w:ind w:firstLine="560" w:firstLineChars="200"/>
        <w:contextualSpacing/>
        <w:jc w:val="left"/>
        <w:rPr>
          <w:rFonts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年支出预算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418.77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万元（详见部门/单位预算公开表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）。</w:t>
      </w:r>
      <w:r>
        <w:rPr>
          <w:rStyle w:val="7"/>
          <w:rFonts w:hint="default" w:hAnsi="仿宋"/>
          <w:color w:val="auto"/>
          <w:sz w:val="28"/>
          <w:szCs w:val="28"/>
        </w:rPr>
        <w:t>其中：基本支出</w:t>
      </w:r>
      <w:r>
        <w:rPr>
          <w:rStyle w:val="7"/>
          <w:rFonts w:hint="eastAsia" w:hAnsi="仿宋" w:eastAsia="仿宋_GB2312"/>
          <w:color w:val="auto"/>
          <w:sz w:val="28"/>
          <w:szCs w:val="28"/>
          <w:lang w:val="en-US" w:eastAsia="zh-CN"/>
        </w:rPr>
        <w:t>418.77</w:t>
      </w:r>
      <w:r>
        <w:rPr>
          <w:rStyle w:val="7"/>
          <w:rFonts w:hint="default" w:hAnsi="仿宋"/>
          <w:color w:val="auto"/>
          <w:sz w:val="28"/>
          <w:szCs w:val="28"/>
        </w:rPr>
        <w:t>万元</w:t>
      </w:r>
      <w:r>
        <w:rPr>
          <w:rStyle w:val="7"/>
          <w:rFonts w:hint="eastAsia" w:hAnsi="仿宋" w:eastAsia="仿宋_GB2312"/>
          <w:color w:val="auto"/>
          <w:sz w:val="28"/>
          <w:szCs w:val="28"/>
          <w:lang w:eastAsia="zh-CN"/>
        </w:rPr>
        <w:t>，</w:t>
      </w:r>
      <w:r>
        <w:rPr>
          <w:rStyle w:val="7"/>
          <w:rFonts w:hint="default" w:hAnsi="仿宋"/>
          <w:color w:val="auto"/>
          <w:sz w:val="28"/>
          <w:szCs w:val="28"/>
        </w:rPr>
        <w:t>占</w:t>
      </w:r>
      <w:r>
        <w:rPr>
          <w:rStyle w:val="7"/>
          <w:rFonts w:hint="eastAsia" w:hAnsi="仿宋" w:eastAsia="仿宋_GB2312"/>
          <w:color w:val="auto"/>
          <w:sz w:val="28"/>
          <w:szCs w:val="28"/>
          <w:lang w:val="en-US" w:eastAsia="zh-CN"/>
        </w:rPr>
        <w:t>100</w:t>
      </w:r>
      <w:r>
        <w:rPr>
          <w:rStyle w:val="8"/>
          <w:rFonts w:hint="eastAsia" w:ascii="仿宋_GB2312" w:hAnsi="仿宋" w:eastAsia="仿宋_GB2312"/>
          <w:color w:val="auto"/>
          <w:sz w:val="28"/>
          <w:szCs w:val="28"/>
        </w:rPr>
        <w:t>%</w:t>
      </w:r>
      <w:r>
        <w:rPr>
          <w:rStyle w:val="7"/>
          <w:rFonts w:hint="default" w:hAnsi="仿宋"/>
          <w:color w:val="auto"/>
          <w:sz w:val="28"/>
          <w:szCs w:val="28"/>
        </w:rPr>
        <w:t>。</w:t>
      </w:r>
    </w:p>
    <w:p w14:paraId="75363149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97F8B7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Style w:val="8"/>
          <w:rFonts w:hint="eastAsia" w:ascii="仿宋_GB2312" w:hAnsi="仿宋" w:eastAsia="仿宋_GB2312"/>
          <w:color w:val="auto"/>
          <w:lang w:eastAsia="zh-CN"/>
        </w:rPr>
        <w:t>202</w:t>
      </w:r>
      <w:r>
        <w:rPr>
          <w:rStyle w:val="8"/>
          <w:rFonts w:hint="eastAsia" w:ascii="仿宋_GB2312" w:hAnsi="仿宋" w:eastAsia="仿宋_GB2312"/>
          <w:color w:val="auto"/>
          <w:lang w:val="en-US" w:eastAsia="zh-CN"/>
        </w:rPr>
        <w:t>6</w:t>
      </w:r>
      <w:r>
        <w:rPr>
          <w:rStyle w:val="7"/>
          <w:rFonts w:hint="default" w:hAnsi="仿宋"/>
          <w:color w:val="auto"/>
        </w:rPr>
        <w:t>年一般公共预算当年支出</w:t>
      </w:r>
      <w:r>
        <w:rPr>
          <w:rStyle w:val="7"/>
          <w:rFonts w:hint="eastAsia" w:hAnsi="仿宋" w:eastAsia="仿宋_GB2312"/>
          <w:color w:val="auto"/>
          <w:lang w:val="en-US" w:eastAsia="zh-CN"/>
        </w:rPr>
        <w:t>418.77</w:t>
      </w:r>
      <w:r>
        <w:rPr>
          <w:rStyle w:val="7"/>
          <w:rFonts w:hint="default" w:hAnsi="仿宋"/>
          <w:color w:val="auto"/>
        </w:rPr>
        <w:t>万元，包括：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社会保障和就业支出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39.11万元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、卫生健康支出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23.75万元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农林水支出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325.89万元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住房保障支出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30.01万元，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（详见部门（单位）预算公开表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：</w:t>
      </w:r>
    </w:p>
    <w:p w14:paraId="5EFD237B">
      <w:pPr>
        <w:spacing w:line="640" w:lineRule="exact"/>
        <w:ind w:left="441" w:leftChars="57" w:hanging="321" w:hangingChars="100"/>
        <w:contextualSpacing/>
        <w:jc w:val="left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年基本支出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418.77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万元，比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年预算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26.58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，增加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6.8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%，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人员经费增加。</w:t>
      </w:r>
    </w:p>
    <w:p w14:paraId="067398F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361.21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万元，主要包括：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本工资、津贴补贴、奖金、绩效工资、机关事业单位基本养老保险缴费、职业年金缴费、职工基本医疗保险缴费、公务员医疗补助缴费、其他社会保障缴费、住房公积金、医疗费、其他工资福利支出、退休费、退职（役）费、抚恤金、生活补助、医疗费补助、奖励金、其他对个人和家庭的补助等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 w14:paraId="4F6D6CC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公用经费支出 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57.56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万元，主要包括：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办公费、印刷费、咨询费、手续费、水费、电费、邮电费、取暖费、物业管理费、差旅费、因公出国（境）费、维修（护）费、培训费、公务接待费、专用材料费、专用燃料费、劳务费、工会经费、福利费、公务用车运行维护费、其他交通费用、税金及附加费用、其他商品和服务支出、办公设备购置、专用设备购置等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25A22AA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5C1A76A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本单位202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项目支出预算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。</w:t>
      </w:r>
    </w:p>
    <w:p w14:paraId="2FF53203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3A65199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社会保障和就业支出（类）行政事业单位养老支出（款）机关事业单位基本养老保险缴费支出（项）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2026年预算数为39.11万元，比2025年增加3.26万元，主要原因是在职人员经费增加。</w:t>
      </w:r>
    </w:p>
    <w:p w14:paraId="31DBE8D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2.卫生健康支出（类）行政事业单位医疗（款）2026年预算数为23.75万元，比2025年减少0.53万元，主要原因是人员经费（退休人员）减少。</w:t>
      </w:r>
    </w:p>
    <w:p w14:paraId="047F075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农林水支出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2026年预算数为325.89万元，比2025年增加21.58万元，主要原因是人员经费增加。</w:t>
      </w:r>
    </w:p>
    <w:p w14:paraId="4AA7633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4.住房保障支出（类）住房改革支出（款）住房公积金（项）2026年预算数为30.01万元,比2025年增加2.27万元，主要原因是人员经费增加。</w:t>
      </w:r>
    </w:p>
    <w:p w14:paraId="096B3E31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3F85509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39E49CA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“三公”经费预算0.00万元,与2025年预算持平。</w:t>
      </w:r>
    </w:p>
    <w:p w14:paraId="19DFA52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1.因公出国（境）费用0.00万元,于2025年预算持平。</w:t>
      </w:r>
    </w:p>
    <w:p w14:paraId="3F475E2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2.公务接待费 0.00万元,与2025年预算持平。</w:t>
      </w:r>
    </w:p>
    <w:p w14:paraId="3CF997B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3.公务用车购置及运行维护费0.00万元（其中：公务用车购置费    万元，公务用车运行维护费0.00万元）,与2025年预算持平。</w:t>
      </w:r>
    </w:p>
    <w:p w14:paraId="1E16FDFA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3B32F7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4.培训费0.00万元,与2025年预算持平。</w:t>
      </w:r>
    </w:p>
    <w:p w14:paraId="665927B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61A159B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5.会议费0.00万元,与2025年预算持平。</w:t>
      </w:r>
    </w:p>
    <w:p w14:paraId="30EDE809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481475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年预算未安排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一般公共预算财政拨款机关运行经费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，相关表格为空表。</w:t>
      </w:r>
    </w:p>
    <w:p w14:paraId="6971A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638" w:leftChars="304" w:firstLine="0" w:firstLineChars="0"/>
        <w:contextualSpacing/>
        <w:jc w:val="left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年，部门（单位）政府采购预算总额 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3.1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万元，其中：政府采购货物预算 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0.2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万元，政府采购工程预算 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政府采购服务预算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2.9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万元。</w:t>
      </w:r>
    </w:p>
    <w:p w14:paraId="5DDCFE80">
      <w:pPr>
        <w:widowControl/>
        <w:adjustRightInd w:val="0"/>
        <w:snapToGrid w:val="0"/>
        <w:spacing w:line="640" w:lineRule="exact"/>
        <w:ind w:left="0" w:leftChars="0" w:firstLine="640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年，部门（单位）面向中小企业预留政府采购项目预算金额  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小微企业预留政府采购项目预算金额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3.1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万元。</w:t>
      </w:r>
    </w:p>
    <w:p w14:paraId="72CF4014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577DA5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上年末固定资产金额为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1222.21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万元。其中：房屋及构筑物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1022.83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万元（房屋面积 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2463.05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平方米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价值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333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构筑物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689.53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万元）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184.78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万元（含公务用车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辆，价值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18.18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万元）；家具用具装具及动植物13.3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图书档案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1.29万元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年拟采购固定资产0.00万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。</w:t>
      </w:r>
    </w:p>
    <w:p w14:paraId="7769A963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91DAB8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74FD3AE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  <w:t>本单位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2026年无政府性基金预算支出预算，政府性基金预算支出情况表为空表。</w:t>
      </w:r>
    </w:p>
    <w:p w14:paraId="60AFDB5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4B7FF85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本单位非税收入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0.00万元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DA67EA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247DEE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安排项目支出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无重点项目说明。</w:t>
      </w:r>
    </w:p>
    <w:p w14:paraId="55E9C81E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134F185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2026年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无转移支付预算安排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管理转移支付表为空表。</w:t>
      </w:r>
    </w:p>
    <w:p w14:paraId="29BCF25D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06FB51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2026年无国有资本经营预算支出情况,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国有资本经营预算支出情况表为空表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B57C625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33169D4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2CB3E23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按照《中共中央 国务院关于全面实施预算绩效管理的意见》《中共甘肃省委 甘肃省人民政府关于全面实施预算绩效管理的实施意见》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《陇南市加快推进预算绩效管理实施方案》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等相关要求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我们将绩效理念和方法融入预算编制、执行、决算和监督全过程认真开展各项工作。</w:t>
      </w:r>
    </w:p>
    <w:p w14:paraId="77AB01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3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按照“谁申请资金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谁设置目标”的原则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纳入部门预算管理的单位整体支出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绩效目标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1个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和项目绩效目标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按规定随年度预算一并公开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绩效目标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公开率为100%。</w:t>
      </w:r>
    </w:p>
    <w:p w14:paraId="667CCC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3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年，组织开展绩效运行监控项目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个，占本单位项目的100%。如期完成预算执行绩效目标指标值的项目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个，完成率为100%。</w:t>
      </w:r>
    </w:p>
    <w:p w14:paraId="0A2891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3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年度，组织开展绩效自评项目共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个，其中，单位整体支出1个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项目支出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转移支付项目0个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绩效自评覆盖率为100%。绩效自评结果及时随部门决算报送财政和随决算公开情况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已全部报送财政并在政府信息公开网公开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E806D57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根据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年度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增加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减少部门预算项目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同时对政策和项目资金管理作出调整的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个。</w:t>
      </w:r>
    </w:p>
    <w:p w14:paraId="26EEE12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30C23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纳入单位预算绩效目标管理的项目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个。其中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部门整体支出绩效目标围绕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基本运行指标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履职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部门综合指标，可持续发展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能力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三个维度，设置二级指标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个、三级指标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个。各项绩效目标内容指向明确、细化量化、合理可行，符合规定的格式要求。</w:t>
      </w:r>
    </w:p>
    <w:p w14:paraId="547BCFBD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016D5D8D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7A31332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0643EC5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50495E35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7481CB5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40412DC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23953BCD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562734D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1993B1CA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6E54EAC2"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16E87E6B"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1ECDE532"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36A6E77F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</w:p>
    <w:p w14:paraId="4AE5DFB6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auto"/>
          <w:sz w:val="32"/>
          <w:szCs w:val="32"/>
          <w:lang w:eastAsia="zh-CN"/>
        </w:rPr>
        <w:t>甘州区红沙窝林场</w:t>
      </w:r>
    </w:p>
    <w:p w14:paraId="529EAAD0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CIDFont+F6" w:eastAsia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CIDFont+F6" w:eastAsia="仿宋_GB2312"/>
          <w:color w:val="auto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日</w:t>
      </w:r>
    </w:p>
    <w:p w14:paraId="03EA9F8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560D7919">
      <w:pPr>
        <w:adjustRightInd w:val="0"/>
        <w:snapToGrid w:val="0"/>
        <w:spacing w:line="640" w:lineRule="exact"/>
        <w:ind w:left="1598" w:leftChars="304" w:hanging="960" w:hangingChars="300"/>
        <w:contextualSpacing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5EF3F010">
      <w:pPr>
        <w:adjustRightInd w:val="0"/>
        <w:snapToGrid w:val="0"/>
        <w:spacing w:line="640" w:lineRule="exact"/>
        <w:ind w:left="1598" w:leftChars="304" w:hanging="960" w:hangingChars="300"/>
        <w:contextualSpacing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05F989BD">
      <w:pPr>
        <w:adjustRightInd w:val="0"/>
        <w:snapToGrid w:val="0"/>
        <w:spacing w:line="640" w:lineRule="exact"/>
        <w:ind w:left="1598" w:leftChars="304" w:hanging="960" w:hangingChars="300"/>
        <w:contextualSpacing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6BAEA625">
      <w:pPr>
        <w:adjustRightInd w:val="0"/>
        <w:snapToGrid w:val="0"/>
        <w:spacing w:line="640" w:lineRule="exact"/>
        <w:ind w:left="1598" w:leftChars="304" w:hanging="960" w:hangingChars="300"/>
        <w:contextualSpacing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附件：</w:t>
      </w:r>
    </w:p>
    <w:p w14:paraId="206716DC">
      <w:pPr>
        <w:adjustRightInd w:val="0"/>
        <w:snapToGrid w:val="0"/>
        <w:spacing w:line="640" w:lineRule="exact"/>
        <w:ind w:left="1598" w:leftChars="304" w:hanging="960" w:hangingChars="300"/>
        <w:contextualSpacing/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  <w:lang w:eastAsia="zh-CN"/>
        </w:rPr>
        <w:t>甘州区红沙窝林场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</w:rPr>
        <w:t>预算公开表</w:t>
      </w:r>
    </w:p>
    <w:p w14:paraId="5D7E6426">
      <w:pPr>
        <w:numPr>
          <w:ilvl w:val="0"/>
          <w:numId w:val="0"/>
        </w:num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甘州区红沙窝林场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auto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整体支出绩效目标及预算项目绩效目标表</w:t>
      </w:r>
    </w:p>
    <w:p w14:paraId="3EC6DB8C">
      <w:pPr>
        <w:tabs>
          <w:tab w:val="left" w:pos="1848"/>
        </w:tabs>
        <w:rPr>
          <w:color w:val="auto"/>
        </w:rPr>
      </w:pPr>
    </w:p>
    <w:p w14:paraId="10710A55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B8C834B">
      <w:pPr>
        <w:tabs>
          <w:tab w:val="left" w:pos="1848"/>
        </w:tabs>
      </w:pPr>
    </w:p>
    <w:p w14:paraId="7A07DCBE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IDFont+F6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IDFont+F4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94557">
    <w:pPr>
      <w:pStyle w:val="3"/>
      <w:jc w:val="center"/>
    </w:pPr>
  </w:p>
  <w:p w14:paraId="056091A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6E547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8EB4E4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F2586"/>
    <w:rsid w:val="054D10EA"/>
    <w:rsid w:val="1B24418E"/>
    <w:rsid w:val="1DF60A19"/>
    <w:rsid w:val="312661BC"/>
    <w:rsid w:val="380F2586"/>
    <w:rsid w:val="41A97577"/>
    <w:rsid w:val="585156AB"/>
    <w:rsid w:val="7BBC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7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8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3658</Words>
  <Characters>4029</Characters>
  <Lines>0</Lines>
  <Paragraphs>0</Paragraphs>
  <TotalTime>50</TotalTime>
  <ScaleCrop>false</ScaleCrop>
  <LinksUpToDate>false</LinksUpToDate>
  <CharactersWithSpaces>4135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2026-03-11T08:26:00Z</dcterms:created>
  <dc:creator>胡秀</dc:creator>
  <cp:lastModifiedBy>微软用户</cp:lastModifiedBy>
  <cp:lastPrinted>2026-03-16T07:42:00Z</cp:lastPrinted>
  <dcterms:modified xsi:type="dcterms:W3CDTF">2026-03-23T07:26:27Z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5EC414B56B444D6B9DA207612F85A974_11</vt:lpwstr>
  </property>
  <property fmtid="{D5CDD505-2E9C-101B-9397-08002B2CF9AE}" pid="4" name="KSOTemplateDocerSaveRecord">
    <vt:lpwstr>eyJoZGlkIjoiMTdlZDYyYWVmY2JiZmNmMDA3MTMxODhiYTM2MTg5ZTkiLCJ1c2VySWQiOiIxMDY3MTEwMDE2In0=</vt:lpwstr>
  </property>
</Properties>
</file>