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小标宋简体" w:hAnsi="方正小标宋简体" w:eastAsia="方正小标宋简体" w:cs="方正小标宋简体"/>
          <w:i w:val="0"/>
          <w:iCs w:val="0"/>
          <w:caps w:val="0"/>
          <w:spacing w:val="0"/>
          <w:sz w:val="44"/>
          <w:szCs w:val="44"/>
          <w:shd w:val="clear" w:fill="FFFFFF"/>
          <w:lang w:eastAsia="zh-CN"/>
        </w:rPr>
      </w:pPr>
      <w:r>
        <w:rPr>
          <w:rFonts w:hint="eastAsia" w:ascii="方正小标宋简体" w:hAnsi="方正小标宋简体" w:eastAsia="方正小标宋简体" w:cs="方正小标宋简体"/>
          <w:i w:val="0"/>
          <w:iCs w:val="0"/>
          <w:caps w:val="0"/>
          <w:spacing w:val="0"/>
          <w:sz w:val="44"/>
          <w:szCs w:val="44"/>
          <w:shd w:val="clear" w:fill="FFFFFF"/>
          <w:lang w:eastAsia="zh-CN"/>
        </w:rPr>
        <w:t>甘州区社会保险事业服务中心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right="0"/>
        <w:jc w:val="center"/>
        <w:textAlignment w:val="auto"/>
        <w:rPr>
          <w:rFonts w:ascii="Segoe UI" w:hAnsi="Segoe UI" w:eastAsia="Segoe UI" w:cs="Segoe UI"/>
          <w:i w:val="0"/>
          <w:iCs w:val="0"/>
          <w:caps w:val="0"/>
          <w:spacing w:val="0"/>
          <w:sz w:val="21"/>
          <w:szCs w:val="21"/>
        </w:rPr>
      </w:pPr>
      <w:r>
        <w:rPr>
          <w:rFonts w:hint="eastAsia" w:ascii="方正小标宋简体" w:hAnsi="方正小标宋简体" w:eastAsia="方正小标宋简体" w:cs="方正小标宋简体"/>
          <w:i w:val="0"/>
          <w:iCs w:val="0"/>
          <w:caps w:val="0"/>
          <w:spacing w:val="0"/>
          <w:sz w:val="44"/>
          <w:szCs w:val="44"/>
          <w:shd w:val="clear" w:fill="FFFFFF"/>
        </w:rPr>
        <w:t>202</w:t>
      </w:r>
      <w:r>
        <w:rPr>
          <w:rFonts w:hint="eastAsia" w:ascii="方正小标宋简体" w:hAnsi="方正小标宋简体" w:eastAsia="方正小标宋简体" w:cs="方正小标宋简体"/>
          <w:i w:val="0"/>
          <w:iCs w:val="0"/>
          <w:caps w:val="0"/>
          <w:spacing w:val="0"/>
          <w:sz w:val="44"/>
          <w:szCs w:val="44"/>
          <w:shd w:val="clear" w:fill="FFFFFF"/>
          <w:lang w:val="en-US" w:eastAsia="zh-CN"/>
        </w:rPr>
        <w:t>2</w:t>
      </w:r>
      <w:r>
        <w:rPr>
          <w:rFonts w:hint="eastAsia" w:ascii="方正小标宋简体" w:hAnsi="方正小标宋简体" w:eastAsia="方正小标宋简体" w:cs="方正小标宋简体"/>
          <w:i w:val="0"/>
          <w:iCs w:val="0"/>
          <w:caps w:val="0"/>
          <w:spacing w:val="0"/>
          <w:sz w:val="44"/>
          <w:szCs w:val="44"/>
          <w:shd w:val="clear" w:fill="FFFFFF"/>
        </w:rPr>
        <w:t>年整体支出绩效评价报告 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ascii="仿宋_GB2312" w:hAnsi="Segoe UI" w:eastAsia="仿宋_GB2312" w:cs="仿宋_GB2312"/>
          <w:i w:val="0"/>
          <w:iCs w:val="0"/>
          <w:caps w:val="0"/>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黑体" w:hAnsi="黑体" w:eastAsia="黑体" w:cs="黑体"/>
          <w:b w:val="0"/>
          <w:bCs w:val="0"/>
          <w:i w:val="0"/>
          <w:iCs w:val="0"/>
          <w:caps w:val="0"/>
          <w:spacing w:val="0"/>
          <w:sz w:val="21"/>
          <w:szCs w:val="21"/>
        </w:rPr>
      </w:pPr>
      <w:r>
        <w:rPr>
          <w:rFonts w:hint="eastAsia" w:ascii="黑体" w:hAnsi="黑体" w:eastAsia="黑体" w:cs="黑体"/>
          <w:b w:val="0"/>
          <w:bCs w:val="0"/>
          <w:i w:val="0"/>
          <w:iCs w:val="0"/>
          <w:caps w:val="0"/>
          <w:spacing w:val="0"/>
          <w:sz w:val="32"/>
          <w:szCs w:val="32"/>
          <w:shd w:val="clear" w:fill="FFFFFF"/>
        </w:rPr>
        <w:t>一、</w:t>
      </w:r>
      <w:r>
        <w:rPr>
          <w:rFonts w:hint="eastAsia" w:ascii="黑体" w:hAnsi="黑体" w:eastAsia="黑体" w:cs="黑体"/>
          <w:b w:val="0"/>
          <w:bCs w:val="0"/>
          <w:i w:val="0"/>
          <w:iCs w:val="0"/>
          <w:caps w:val="0"/>
          <w:spacing w:val="0"/>
          <w:sz w:val="32"/>
          <w:szCs w:val="32"/>
          <w:shd w:val="clear" w:fill="FFFFFF"/>
          <w:lang w:eastAsia="zh-CN"/>
        </w:rPr>
        <w:t>部门</w:t>
      </w:r>
      <w:r>
        <w:rPr>
          <w:rFonts w:hint="eastAsia" w:ascii="黑体" w:hAnsi="黑体" w:eastAsia="黑体" w:cs="黑体"/>
          <w:b w:val="0"/>
          <w:bCs w:val="0"/>
          <w:i w:val="0"/>
          <w:iCs w:val="0"/>
          <w:caps w:val="0"/>
          <w:spacing w:val="0"/>
          <w:sz w:val="32"/>
          <w:szCs w:val="32"/>
          <w:shd w:val="clear" w:fill="FFFFFF"/>
        </w:rPr>
        <w:t>概况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楷体" w:hAnsi="楷体" w:eastAsia="楷体" w:cs="楷体"/>
          <w:b/>
          <w:bCs/>
          <w:i w:val="0"/>
          <w:iCs w:val="0"/>
          <w:caps w:val="0"/>
          <w:spacing w:val="0"/>
          <w:sz w:val="21"/>
          <w:szCs w:val="21"/>
        </w:rPr>
      </w:pPr>
      <w:r>
        <w:rPr>
          <w:rFonts w:hint="eastAsia" w:ascii="楷体" w:hAnsi="楷体" w:eastAsia="楷体" w:cs="楷体"/>
          <w:b/>
          <w:bCs/>
          <w:i w:val="0"/>
          <w:iCs w:val="0"/>
          <w:caps w:val="0"/>
          <w:spacing w:val="0"/>
          <w:sz w:val="32"/>
          <w:szCs w:val="32"/>
          <w:shd w:val="clear" w:fill="FFFFFF"/>
        </w:rPr>
        <w:t>（一）机构组成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0"/>
          <w:szCs w:val="30"/>
        </w:rPr>
      </w:pPr>
      <w:r>
        <w:rPr>
          <w:rFonts w:hint="eastAsia" w:ascii="仿宋_GB2312" w:eastAsia="仿宋_GB2312"/>
          <w:sz w:val="32"/>
          <w:szCs w:val="32"/>
          <w:lang w:val="en-US" w:eastAsia="zh-CN"/>
        </w:rPr>
        <w:t>甘州区社会保险事业服务中心设有7个股室（部门），包括7个内设股室。即：办公室、财务统计股、城乡居民养老保险股、待遇支付股、参保核定股、综合业务股、机关事业养老保险股。</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560" w:lineRule="exact"/>
        <w:ind w:left="640" w:leftChars="0" w:right="0" w:rightChars="0"/>
        <w:textAlignment w:val="auto"/>
        <w:rPr>
          <w:rFonts w:hint="eastAsia" w:ascii="仿宋_GB2312" w:eastAsia="仿宋_GB2312"/>
          <w:sz w:val="32"/>
          <w:szCs w:val="32"/>
          <w:lang w:val="en-US" w:eastAsia="zh-CN"/>
        </w:rPr>
      </w:pPr>
      <w:r>
        <w:rPr>
          <w:rFonts w:hint="eastAsia" w:ascii="楷体" w:hAnsi="楷体" w:eastAsia="楷体" w:cs="楷体"/>
          <w:b/>
          <w:bCs/>
          <w:i w:val="0"/>
          <w:iCs w:val="0"/>
          <w:caps w:val="0"/>
          <w:spacing w:val="0"/>
          <w:sz w:val="32"/>
          <w:szCs w:val="32"/>
          <w:shd w:val="clear" w:fill="FFFFFF"/>
          <w:lang w:eastAsia="zh-CN"/>
        </w:rPr>
        <w:t>（二）</w:t>
      </w:r>
      <w:r>
        <w:rPr>
          <w:rFonts w:hint="eastAsia" w:ascii="楷体" w:hAnsi="楷体" w:eastAsia="楷体" w:cs="楷体"/>
          <w:b/>
          <w:bCs/>
          <w:i w:val="0"/>
          <w:iCs w:val="0"/>
          <w:caps w:val="0"/>
          <w:spacing w:val="0"/>
          <w:sz w:val="32"/>
          <w:szCs w:val="32"/>
          <w:shd w:val="clear" w:fill="FFFFFF"/>
        </w:rPr>
        <w:t>基本职能</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rPr>
          <w:rFonts w:hint="eastAsia" w:ascii="仿宋_GB2312" w:eastAsia="仿宋_GB2312"/>
          <w:sz w:val="32"/>
          <w:szCs w:val="32"/>
          <w:lang w:val="en-US" w:eastAsia="zh-CN"/>
        </w:rPr>
      </w:pPr>
      <w:r>
        <w:rPr>
          <w:rFonts w:hint="eastAsia" w:ascii="仿宋_GB2312" w:hAnsi="Segoe UI" w:eastAsia="仿宋_GB2312" w:cs="仿宋_GB2312"/>
          <w:i w:val="0"/>
          <w:iCs w:val="0"/>
          <w:caps w:val="0"/>
          <w:spacing w:val="0"/>
          <w:sz w:val="32"/>
          <w:szCs w:val="32"/>
          <w:shd w:val="clear" w:fill="FFFFFF"/>
          <w:lang w:eastAsia="zh-CN"/>
        </w:rPr>
        <w:t>甘州区社会保险事业服务中心</w:t>
      </w:r>
      <w:r>
        <w:rPr>
          <w:rFonts w:hint="eastAsia" w:ascii="仿宋_GB2312" w:hAnsi="Segoe UI" w:eastAsia="仿宋_GB2312" w:cs="仿宋_GB2312"/>
          <w:i w:val="0"/>
          <w:iCs w:val="0"/>
          <w:caps w:val="0"/>
          <w:spacing w:val="0"/>
          <w:sz w:val="32"/>
          <w:szCs w:val="32"/>
          <w:shd w:val="clear" w:fill="FFFFFF"/>
        </w:rPr>
        <w:t>是</w:t>
      </w:r>
      <w:r>
        <w:rPr>
          <w:rFonts w:hint="eastAsia" w:ascii="仿宋_GB2312" w:hAnsi="Segoe UI" w:eastAsia="仿宋_GB2312" w:cs="仿宋_GB2312"/>
          <w:i w:val="0"/>
          <w:iCs w:val="0"/>
          <w:caps w:val="0"/>
          <w:spacing w:val="0"/>
          <w:sz w:val="32"/>
          <w:szCs w:val="32"/>
          <w:shd w:val="clear" w:fill="FFFFFF"/>
          <w:lang w:eastAsia="zh-CN"/>
        </w:rPr>
        <w:t>区</w:t>
      </w:r>
      <w:r>
        <w:rPr>
          <w:rFonts w:hint="eastAsia" w:ascii="仿宋_GB2312" w:hAnsi="Segoe UI" w:eastAsia="仿宋_GB2312" w:cs="仿宋_GB2312"/>
          <w:i w:val="0"/>
          <w:iCs w:val="0"/>
          <w:caps w:val="0"/>
          <w:spacing w:val="0"/>
          <w:sz w:val="32"/>
          <w:szCs w:val="32"/>
          <w:shd w:val="clear" w:fill="FFFFFF"/>
        </w:rPr>
        <w:t>政府工作部门</w:t>
      </w:r>
      <w:r>
        <w:rPr>
          <w:rFonts w:hint="eastAsia" w:ascii="仿宋_GB2312" w:hAnsi="Segoe UI" w:eastAsia="仿宋_GB2312" w:cs="仿宋_GB2312"/>
          <w:i w:val="0"/>
          <w:iCs w:val="0"/>
          <w:caps w:val="0"/>
          <w:spacing w:val="0"/>
          <w:sz w:val="32"/>
          <w:szCs w:val="32"/>
          <w:shd w:val="clear" w:fill="FFFFFF"/>
          <w:lang w:eastAsia="zh-CN"/>
        </w:rPr>
        <w:t>，</w:t>
      </w:r>
      <w:r>
        <w:rPr>
          <w:rFonts w:hint="eastAsia" w:ascii="仿宋_GB2312" w:hAnsi="Segoe UI" w:eastAsia="仿宋_GB2312" w:cs="仿宋_GB2312"/>
          <w:i w:val="0"/>
          <w:iCs w:val="0"/>
          <w:caps w:val="0"/>
          <w:spacing w:val="0"/>
          <w:sz w:val="32"/>
          <w:szCs w:val="32"/>
          <w:shd w:val="clear" w:fill="FFFFFF"/>
        </w:rPr>
        <w:t>其主要职责：</w:t>
      </w:r>
      <w:r>
        <w:rPr>
          <w:rFonts w:hint="eastAsia" w:ascii="仿宋_GB2312" w:eastAsia="仿宋_GB2312"/>
          <w:sz w:val="32"/>
          <w:szCs w:val="32"/>
          <w:lang w:val="en-US" w:eastAsia="zh-CN"/>
        </w:rPr>
        <w:t>负责贯彻执行党和国家及省市关于社会保险法律法规方针政策；根据上级业务部门的总体规划和工作要点，制定全区社会保险工作年度计划、工作目标和实施方案；负责全区养老、失业、工伤、村干部、失地农民、城乡居民的养老保险、机关事业单位养老保险的参保核定、缴费稽核、待遇支付管理服务等工作；负责社会保险基金管理，落实预、决算计划；落实劳动保障的政策规定，确保退休人员、五七工、家属工、失地农民基本养老保险待遇按时足额发放，推动社会劳动保障事业的健康发展；承办区委、区政府和上级业务主管部门交办的其他事项。</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560" w:lineRule="exact"/>
        <w:ind w:left="640" w:leftChars="0" w:right="0" w:rightChars="0"/>
        <w:textAlignment w:val="auto"/>
        <w:rPr>
          <w:rFonts w:hint="default" w:ascii="楷体" w:hAnsi="楷体" w:eastAsia="楷体" w:cs="楷体"/>
          <w:b/>
          <w:bCs/>
          <w:i w:val="0"/>
          <w:iCs w:val="0"/>
          <w:caps w:val="0"/>
          <w:spacing w:val="0"/>
          <w:sz w:val="32"/>
          <w:szCs w:val="32"/>
          <w:shd w:val="clear" w:fill="FFFFFF"/>
          <w:lang w:eastAsia="zh-CN"/>
        </w:rPr>
      </w:pPr>
      <w:r>
        <w:rPr>
          <w:rFonts w:hint="eastAsia" w:ascii="楷体" w:hAnsi="楷体" w:eastAsia="楷体" w:cs="楷体"/>
          <w:b/>
          <w:bCs/>
          <w:i w:val="0"/>
          <w:iCs w:val="0"/>
          <w:caps w:val="0"/>
          <w:spacing w:val="0"/>
          <w:sz w:val="32"/>
          <w:szCs w:val="32"/>
          <w:shd w:val="clear" w:fill="FFFFFF"/>
          <w:lang w:eastAsia="zh-CN"/>
        </w:rPr>
        <w:t>（三）人员概况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default" w:ascii="Segoe UI" w:hAnsi="Segoe UI" w:eastAsia="Segoe UI" w:cs="Segoe UI"/>
          <w:i w:val="0"/>
          <w:iCs w:val="0"/>
          <w:caps w:val="0"/>
          <w:spacing w:val="0"/>
          <w:sz w:val="21"/>
          <w:szCs w:val="21"/>
        </w:rPr>
      </w:pPr>
      <w:r>
        <w:rPr>
          <w:rFonts w:hint="eastAsia" w:ascii="仿宋_GB2312" w:hAnsi="Segoe UI" w:eastAsia="仿宋_GB2312" w:cs="仿宋_GB2312"/>
          <w:i w:val="0"/>
          <w:iCs w:val="0"/>
          <w:caps w:val="0"/>
          <w:spacing w:val="0"/>
          <w:sz w:val="32"/>
          <w:szCs w:val="32"/>
          <w:shd w:val="clear" w:fill="FFFFFF"/>
        </w:rPr>
        <w:t>202</w:t>
      </w:r>
      <w:r>
        <w:rPr>
          <w:rFonts w:hint="eastAsia" w:ascii="仿宋_GB2312" w:hAnsi="Segoe UI" w:eastAsia="仿宋_GB2312" w:cs="仿宋_GB2312"/>
          <w:i w:val="0"/>
          <w:iCs w:val="0"/>
          <w:caps w:val="0"/>
          <w:spacing w:val="0"/>
          <w:sz w:val="32"/>
          <w:szCs w:val="32"/>
          <w:shd w:val="clear" w:fill="FFFFFF"/>
          <w:lang w:val="en-US" w:eastAsia="zh-CN"/>
        </w:rPr>
        <w:t>2</w:t>
      </w:r>
      <w:r>
        <w:rPr>
          <w:rFonts w:hint="eastAsia" w:ascii="仿宋_GB2312" w:hAnsi="Segoe UI" w:eastAsia="仿宋_GB2312" w:cs="仿宋_GB2312"/>
          <w:i w:val="0"/>
          <w:iCs w:val="0"/>
          <w:caps w:val="0"/>
          <w:spacing w:val="0"/>
          <w:sz w:val="32"/>
          <w:szCs w:val="32"/>
          <w:shd w:val="clear" w:fill="FFFFFF"/>
        </w:rPr>
        <w:t>年实际在岗人员</w:t>
      </w:r>
      <w:r>
        <w:rPr>
          <w:rFonts w:hint="eastAsia" w:ascii="仿宋_GB2312" w:hAnsi="Segoe UI" w:eastAsia="仿宋_GB2312" w:cs="仿宋_GB2312"/>
          <w:i w:val="0"/>
          <w:iCs w:val="0"/>
          <w:caps w:val="0"/>
          <w:spacing w:val="0"/>
          <w:sz w:val="32"/>
          <w:szCs w:val="32"/>
          <w:shd w:val="clear" w:fill="FFFFFF"/>
          <w:lang w:val="en-US" w:eastAsia="zh-CN"/>
        </w:rPr>
        <w:t>24</w:t>
      </w:r>
      <w:r>
        <w:rPr>
          <w:rFonts w:hint="eastAsia" w:ascii="仿宋_GB2312" w:hAnsi="Segoe UI" w:eastAsia="仿宋_GB2312" w:cs="仿宋_GB2312"/>
          <w:i w:val="0"/>
          <w:iCs w:val="0"/>
          <w:caps w:val="0"/>
          <w:spacing w:val="0"/>
          <w:sz w:val="32"/>
          <w:szCs w:val="32"/>
          <w:shd w:val="clear" w:fill="FFFFFF"/>
        </w:rPr>
        <w:t>人，退休</w:t>
      </w:r>
      <w:r>
        <w:rPr>
          <w:rFonts w:hint="eastAsia" w:ascii="仿宋_GB2312" w:hAnsi="Segoe UI" w:eastAsia="仿宋_GB2312" w:cs="仿宋_GB2312"/>
          <w:i w:val="0"/>
          <w:iCs w:val="0"/>
          <w:caps w:val="0"/>
          <w:spacing w:val="0"/>
          <w:sz w:val="32"/>
          <w:szCs w:val="32"/>
          <w:shd w:val="clear" w:fill="FFFFFF"/>
          <w:lang w:val="en-US" w:eastAsia="zh-CN"/>
        </w:rPr>
        <w:t>5</w:t>
      </w:r>
      <w:r>
        <w:rPr>
          <w:rFonts w:hint="eastAsia" w:ascii="仿宋_GB2312" w:hAnsi="Segoe UI" w:eastAsia="仿宋_GB2312" w:cs="仿宋_GB2312"/>
          <w:i w:val="0"/>
          <w:iCs w:val="0"/>
          <w:caps w:val="0"/>
          <w:spacing w:val="0"/>
          <w:sz w:val="32"/>
          <w:szCs w:val="32"/>
          <w:shd w:val="clear" w:fill="FFFFFF"/>
        </w:rPr>
        <w:t>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default" w:ascii="黑体" w:hAnsi="黑体" w:eastAsia="黑体" w:cs="黑体"/>
          <w:b w:val="0"/>
          <w:bCs w:val="0"/>
          <w:i w:val="0"/>
          <w:iCs w:val="0"/>
          <w:caps w:val="0"/>
          <w:spacing w:val="0"/>
          <w:sz w:val="32"/>
          <w:szCs w:val="32"/>
          <w:shd w:val="clear" w:fill="FFFFFF"/>
        </w:rPr>
      </w:pPr>
      <w:r>
        <w:rPr>
          <w:rFonts w:hint="eastAsia" w:ascii="黑体" w:hAnsi="黑体" w:eastAsia="黑体" w:cs="黑体"/>
          <w:b w:val="0"/>
          <w:bCs w:val="0"/>
          <w:i w:val="0"/>
          <w:iCs w:val="0"/>
          <w:caps w:val="0"/>
          <w:spacing w:val="0"/>
          <w:sz w:val="32"/>
          <w:szCs w:val="32"/>
          <w:shd w:val="clear" w:fill="FFFFFF"/>
        </w:rPr>
        <w:t>二、</w:t>
      </w:r>
      <w:r>
        <w:rPr>
          <w:rFonts w:hint="eastAsia" w:ascii="黑体" w:hAnsi="黑体" w:eastAsia="黑体" w:cs="黑体"/>
          <w:b w:val="0"/>
          <w:bCs w:val="0"/>
          <w:i w:val="0"/>
          <w:iCs w:val="0"/>
          <w:caps w:val="0"/>
          <w:spacing w:val="0"/>
          <w:sz w:val="32"/>
          <w:szCs w:val="32"/>
          <w:shd w:val="clear" w:fill="FFFFFF"/>
          <w:lang w:eastAsia="zh-CN"/>
        </w:rPr>
        <w:t>区社保中心</w:t>
      </w:r>
      <w:r>
        <w:rPr>
          <w:rFonts w:hint="eastAsia" w:ascii="黑体" w:hAnsi="黑体" w:eastAsia="黑体" w:cs="黑体"/>
          <w:b w:val="0"/>
          <w:bCs w:val="0"/>
          <w:i w:val="0"/>
          <w:iCs w:val="0"/>
          <w:caps w:val="0"/>
          <w:spacing w:val="0"/>
          <w:sz w:val="32"/>
          <w:szCs w:val="32"/>
          <w:shd w:val="clear" w:fill="FFFFFF"/>
          <w:lang w:val="en-US" w:eastAsia="zh-CN"/>
        </w:rPr>
        <w:t>2022</w:t>
      </w:r>
      <w:r>
        <w:rPr>
          <w:rFonts w:hint="eastAsia" w:ascii="黑体" w:hAnsi="黑体" w:eastAsia="黑体" w:cs="黑体"/>
          <w:b w:val="0"/>
          <w:bCs w:val="0"/>
          <w:i w:val="0"/>
          <w:iCs w:val="0"/>
          <w:caps w:val="0"/>
          <w:spacing w:val="0"/>
          <w:sz w:val="32"/>
          <w:szCs w:val="32"/>
          <w:shd w:val="clear" w:fill="FFFFFF"/>
        </w:rPr>
        <w:t>年资金收支情况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560" w:lineRule="exact"/>
        <w:ind w:left="640" w:leftChars="0" w:right="0" w:rightChars="0"/>
        <w:textAlignment w:val="auto"/>
        <w:rPr>
          <w:rFonts w:hint="default" w:ascii="楷体" w:hAnsi="楷体" w:eastAsia="楷体" w:cs="楷体"/>
          <w:b/>
          <w:bCs/>
          <w:i w:val="0"/>
          <w:iCs w:val="0"/>
          <w:caps w:val="0"/>
          <w:spacing w:val="0"/>
          <w:sz w:val="32"/>
          <w:szCs w:val="32"/>
          <w:shd w:val="clear" w:fill="FFFFFF"/>
          <w:lang w:eastAsia="zh-CN"/>
        </w:rPr>
      </w:pPr>
      <w:r>
        <w:rPr>
          <w:rFonts w:hint="eastAsia" w:ascii="楷体" w:hAnsi="楷体" w:eastAsia="楷体" w:cs="楷体"/>
          <w:b/>
          <w:bCs/>
          <w:i w:val="0"/>
          <w:iCs w:val="0"/>
          <w:caps w:val="0"/>
          <w:spacing w:val="0"/>
          <w:sz w:val="32"/>
          <w:szCs w:val="32"/>
          <w:shd w:val="clear" w:fill="FFFFFF"/>
          <w:lang w:eastAsia="zh-CN"/>
        </w:rPr>
        <w:t>（一）资金收入情况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default" w:ascii="Segoe UI" w:hAnsi="Segoe UI" w:eastAsia="Segoe UI" w:cs="Segoe UI"/>
          <w:i w:val="0"/>
          <w:iCs w:val="0"/>
          <w:caps w:val="0"/>
          <w:spacing w:val="0"/>
          <w:sz w:val="21"/>
          <w:szCs w:val="21"/>
        </w:rPr>
      </w:pPr>
      <w:r>
        <w:rPr>
          <w:rFonts w:hint="eastAsia" w:ascii="仿宋_GB2312" w:hAnsi="Segoe UI" w:eastAsia="仿宋_GB2312" w:cs="仿宋_GB2312"/>
          <w:i w:val="0"/>
          <w:iCs w:val="0"/>
          <w:caps w:val="0"/>
          <w:spacing w:val="0"/>
          <w:sz w:val="32"/>
          <w:szCs w:val="32"/>
          <w:shd w:val="clear" w:fill="FFFFFF"/>
        </w:rPr>
        <w:t>202</w:t>
      </w:r>
      <w:r>
        <w:rPr>
          <w:rFonts w:hint="eastAsia" w:ascii="仿宋_GB2312" w:hAnsi="Segoe UI" w:eastAsia="仿宋_GB2312" w:cs="仿宋_GB2312"/>
          <w:i w:val="0"/>
          <w:iCs w:val="0"/>
          <w:caps w:val="0"/>
          <w:spacing w:val="0"/>
          <w:sz w:val="32"/>
          <w:szCs w:val="32"/>
          <w:shd w:val="clear" w:fill="FFFFFF"/>
          <w:lang w:val="en-US" w:eastAsia="zh-CN"/>
        </w:rPr>
        <w:t>2</w:t>
      </w:r>
      <w:r>
        <w:rPr>
          <w:rFonts w:hint="eastAsia" w:ascii="仿宋_GB2312" w:hAnsi="Segoe UI" w:eastAsia="仿宋_GB2312" w:cs="仿宋_GB2312"/>
          <w:i w:val="0"/>
          <w:iCs w:val="0"/>
          <w:caps w:val="0"/>
          <w:spacing w:val="0"/>
          <w:sz w:val="32"/>
          <w:szCs w:val="32"/>
          <w:shd w:val="clear" w:fill="FFFFFF"/>
        </w:rPr>
        <w:t>年本年收入合计</w:t>
      </w:r>
      <w:r>
        <w:rPr>
          <w:rFonts w:hint="eastAsia" w:ascii="仿宋_GB2312" w:hAnsi="仿宋_GB2312" w:eastAsia="仿宋_GB2312" w:cs="仿宋_GB2312"/>
          <w:color w:val="auto"/>
          <w:sz w:val="32"/>
          <w:szCs w:val="32"/>
          <w:lang w:val="en-US" w:eastAsia="zh-CN"/>
        </w:rPr>
        <w:t>5580.28</w:t>
      </w:r>
      <w:r>
        <w:rPr>
          <w:rFonts w:hint="eastAsia" w:ascii="仿宋_GB2312" w:hAnsi="Segoe UI" w:eastAsia="仿宋_GB2312" w:cs="仿宋_GB2312"/>
          <w:i w:val="0"/>
          <w:iCs w:val="0"/>
          <w:caps w:val="0"/>
          <w:spacing w:val="0"/>
          <w:sz w:val="32"/>
          <w:szCs w:val="32"/>
          <w:shd w:val="clear" w:fill="FFFFFF"/>
        </w:rPr>
        <w:t>万元，其中：一般公共预算财政拨款收入</w:t>
      </w:r>
      <w:r>
        <w:rPr>
          <w:rFonts w:hint="eastAsia" w:ascii="仿宋_GB2312" w:hAnsi="仿宋_GB2312" w:eastAsia="仿宋_GB2312" w:cs="仿宋_GB2312"/>
          <w:color w:val="auto"/>
          <w:sz w:val="32"/>
          <w:szCs w:val="32"/>
          <w:lang w:val="en-US" w:eastAsia="zh-CN"/>
        </w:rPr>
        <w:t>5580.28</w:t>
      </w:r>
      <w:r>
        <w:rPr>
          <w:rFonts w:hint="eastAsia" w:ascii="仿宋_GB2312" w:hAnsi="Segoe UI" w:eastAsia="仿宋_GB2312" w:cs="仿宋_GB2312"/>
          <w:i w:val="0"/>
          <w:iCs w:val="0"/>
          <w:caps w:val="0"/>
          <w:spacing w:val="0"/>
          <w:sz w:val="32"/>
          <w:szCs w:val="32"/>
          <w:shd w:val="clear" w:fill="FFFFFF"/>
        </w:rPr>
        <w:t>万元，占</w:t>
      </w:r>
      <w:r>
        <w:rPr>
          <w:rFonts w:hint="eastAsia" w:ascii="仿宋_GB2312" w:hAnsi="Segoe UI" w:eastAsia="仿宋_GB2312" w:cs="仿宋_GB2312"/>
          <w:i w:val="0"/>
          <w:iCs w:val="0"/>
          <w:caps w:val="0"/>
          <w:spacing w:val="0"/>
          <w:sz w:val="32"/>
          <w:szCs w:val="32"/>
          <w:shd w:val="clear" w:fill="FFFFFF"/>
          <w:lang w:val="en-US" w:eastAsia="zh-CN"/>
        </w:rPr>
        <w:t>100</w:t>
      </w:r>
      <w:r>
        <w:rPr>
          <w:rFonts w:hint="eastAsia" w:ascii="仿宋_GB2312" w:hAnsi="Segoe UI" w:eastAsia="仿宋_GB2312" w:cs="仿宋_GB2312"/>
          <w:i w:val="0"/>
          <w:iCs w:val="0"/>
          <w:caps w:val="0"/>
          <w:spacing w:val="0"/>
          <w:sz w:val="32"/>
          <w:szCs w:val="32"/>
          <w:shd w:val="clear" w:fill="FFFFFF"/>
        </w:rPr>
        <w:t>％；无政府性基金预算财政拨款收入；无国有资本经营预算财政拨款收入；无事业收入；无经营收入；无附属单位上缴收入；</w:t>
      </w:r>
      <w:r>
        <w:rPr>
          <w:rFonts w:hint="eastAsia" w:ascii="仿宋_GB2312" w:hAnsi="Segoe UI" w:eastAsia="仿宋_GB2312" w:cs="仿宋_GB2312"/>
          <w:i w:val="0"/>
          <w:iCs w:val="0"/>
          <w:caps w:val="0"/>
          <w:spacing w:val="0"/>
          <w:sz w:val="32"/>
          <w:szCs w:val="32"/>
          <w:shd w:val="clear" w:fill="FFFFFF"/>
          <w:lang w:eastAsia="zh-CN"/>
        </w:rPr>
        <w:t>无</w:t>
      </w:r>
      <w:r>
        <w:rPr>
          <w:rFonts w:hint="eastAsia" w:ascii="仿宋_GB2312" w:hAnsi="Segoe UI" w:eastAsia="仿宋_GB2312" w:cs="仿宋_GB2312"/>
          <w:i w:val="0"/>
          <w:iCs w:val="0"/>
          <w:caps w:val="0"/>
          <w:spacing w:val="0"/>
          <w:sz w:val="32"/>
          <w:szCs w:val="32"/>
          <w:shd w:val="clear" w:fill="FFFFFF"/>
        </w:rPr>
        <w:t>其他收入。</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560" w:lineRule="exact"/>
        <w:ind w:left="640" w:leftChars="0" w:right="0" w:rightChars="0"/>
        <w:textAlignment w:val="auto"/>
        <w:rPr>
          <w:rFonts w:hint="default" w:ascii="楷体" w:hAnsi="楷体" w:eastAsia="楷体" w:cs="楷体"/>
          <w:b/>
          <w:bCs/>
          <w:i w:val="0"/>
          <w:iCs w:val="0"/>
          <w:caps w:val="0"/>
          <w:spacing w:val="0"/>
          <w:sz w:val="32"/>
          <w:szCs w:val="32"/>
          <w:shd w:val="clear" w:fill="FFFFFF"/>
          <w:lang w:eastAsia="zh-CN"/>
        </w:rPr>
      </w:pPr>
      <w:r>
        <w:rPr>
          <w:rFonts w:hint="eastAsia" w:ascii="楷体" w:hAnsi="楷体" w:eastAsia="楷体" w:cs="楷体"/>
          <w:b/>
          <w:bCs/>
          <w:i w:val="0"/>
          <w:iCs w:val="0"/>
          <w:caps w:val="0"/>
          <w:spacing w:val="0"/>
          <w:sz w:val="32"/>
          <w:szCs w:val="32"/>
          <w:shd w:val="clear" w:fill="FFFFFF"/>
          <w:lang w:eastAsia="zh-CN"/>
        </w:rPr>
        <w:t>（二）资金支出情况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default" w:ascii="Segoe UI" w:hAnsi="Segoe UI" w:eastAsia="Segoe UI" w:cs="Segoe UI"/>
          <w:i w:val="0"/>
          <w:iCs w:val="0"/>
          <w:caps w:val="0"/>
          <w:spacing w:val="0"/>
          <w:sz w:val="21"/>
          <w:szCs w:val="21"/>
        </w:rPr>
      </w:pPr>
      <w:r>
        <w:rPr>
          <w:rFonts w:hint="eastAsia" w:ascii="仿宋_GB2312" w:hAnsi="Segoe UI" w:eastAsia="仿宋_GB2312" w:cs="仿宋_GB2312"/>
          <w:i w:val="0"/>
          <w:iCs w:val="0"/>
          <w:caps w:val="0"/>
          <w:spacing w:val="0"/>
          <w:sz w:val="32"/>
          <w:szCs w:val="32"/>
          <w:shd w:val="clear" w:fill="FFFFFF"/>
        </w:rPr>
        <w:t>202</w:t>
      </w:r>
      <w:r>
        <w:rPr>
          <w:rFonts w:hint="eastAsia" w:ascii="仿宋_GB2312" w:hAnsi="Segoe UI" w:eastAsia="仿宋_GB2312" w:cs="仿宋_GB2312"/>
          <w:i w:val="0"/>
          <w:iCs w:val="0"/>
          <w:caps w:val="0"/>
          <w:spacing w:val="0"/>
          <w:sz w:val="32"/>
          <w:szCs w:val="32"/>
          <w:shd w:val="clear" w:fill="FFFFFF"/>
          <w:lang w:val="en-US" w:eastAsia="zh-CN"/>
        </w:rPr>
        <w:t>2</w:t>
      </w:r>
      <w:r>
        <w:rPr>
          <w:rFonts w:hint="eastAsia" w:ascii="仿宋_GB2312" w:hAnsi="Segoe UI" w:eastAsia="仿宋_GB2312" w:cs="仿宋_GB2312"/>
          <w:i w:val="0"/>
          <w:iCs w:val="0"/>
          <w:caps w:val="0"/>
          <w:spacing w:val="0"/>
          <w:sz w:val="32"/>
          <w:szCs w:val="32"/>
          <w:shd w:val="clear" w:fill="FFFFFF"/>
        </w:rPr>
        <w:t>年本年支出合计</w:t>
      </w:r>
      <w:r>
        <w:rPr>
          <w:rFonts w:hint="eastAsia" w:ascii="仿宋_GB2312" w:hAnsi="仿宋_GB2312" w:eastAsia="仿宋_GB2312" w:cs="仿宋_GB2312"/>
          <w:color w:val="auto"/>
          <w:sz w:val="32"/>
          <w:szCs w:val="32"/>
          <w:lang w:val="en-US" w:eastAsia="zh-CN"/>
        </w:rPr>
        <w:t>5580.28</w:t>
      </w:r>
      <w:r>
        <w:rPr>
          <w:rFonts w:hint="eastAsia" w:ascii="仿宋_GB2312" w:hAnsi="Segoe UI" w:eastAsia="仿宋_GB2312" w:cs="仿宋_GB2312"/>
          <w:i w:val="0"/>
          <w:iCs w:val="0"/>
          <w:caps w:val="0"/>
          <w:spacing w:val="0"/>
          <w:sz w:val="32"/>
          <w:szCs w:val="32"/>
          <w:shd w:val="clear" w:fill="FFFFFF"/>
        </w:rPr>
        <w:t>万元，其中：基本支出</w:t>
      </w:r>
      <w:r>
        <w:rPr>
          <w:rFonts w:hint="eastAsia" w:ascii="仿宋_GB2312" w:hAnsi="仿宋_GB2312" w:eastAsia="仿宋_GB2312" w:cs="仿宋_GB2312"/>
          <w:color w:val="auto"/>
          <w:sz w:val="32"/>
          <w:szCs w:val="32"/>
          <w:lang w:val="en-US" w:eastAsia="zh-CN"/>
        </w:rPr>
        <w:t>330.56</w:t>
      </w:r>
      <w:r>
        <w:rPr>
          <w:rFonts w:hint="eastAsia" w:ascii="仿宋_GB2312" w:hAnsi="Segoe UI" w:eastAsia="仿宋_GB2312" w:cs="仿宋_GB2312"/>
          <w:i w:val="0"/>
          <w:iCs w:val="0"/>
          <w:caps w:val="0"/>
          <w:spacing w:val="0"/>
          <w:sz w:val="32"/>
          <w:szCs w:val="32"/>
          <w:shd w:val="clear" w:fill="FFFFFF"/>
        </w:rPr>
        <w:t>万元，占</w:t>
      </w:r>
      <w:r>
        <w:rPr>
          <w:rFonts w:hint="eastAsia" w:ascii="仿宋_GB2312" w:hAnsi="Segoe UI" w:eastAsia="仿宋_GB2312" w:cs="仿宋_GB2312"/>
          <w:i w:val="0"/>
          <w:iCs w:val="0"/>
          <w:caps w:val="0"/>
          <w:spacing w:val="0"/>
          <w:sz w:val="32"/>
          <w:szCs w:val="32"/>
          <w:shd w:val="clear" w:fill="FFFFFF"/>
          <w:lang w:val="en-US" w:eastAsia="zh-CN"/>
        </w:rPr>
        <w:t>5.93</w:t>
      </w:r>
      <w:r>
        <w:rPr>
          <w:rFonts w:hint="eastAsia" w:ascii="仿宋_GB2312" w:hAnsi="Segoe UI" w:eastAsia="仿宋_GB2312" w:cs="仿宋_GB2312"/>
          <w:i w:val="0"/>
          <w:iCs w:val="0"/>
          <w:caps w:val="0"/>
          <w:spacing w:val="0"/>
          <w:sz w:val="32"/>
          <w:szCs w:val="32"/>
          <w:shd w:val="clear" w:fill="FFFFFF"/>
        </w:rPr>
        <w:t>％；项目支出</w:t>
      </w:r>
      <w:r>
        <w:rPr>
          <w:rFonts w:hint="eastAsia" w:ascii="仿宋_GB2312" w:hAnsi="Segoe UI" w:eastAsia="仿宋_GB2312" w:cs="仿宋_GB2312"/>
          <w:i w:val="0"/>
          <w:iCs w:val="0"/>
          <w:caps w:val="0"/>
          <w:spacing w:val="0"/>
          <w:sz w:val="32"/>
          <w:szCs w:val="32"/>
          <w:shd w:val="clear" w:fill="FFFFFF"/>
          <w:lang w:val="en-US" w:eastAsia="zh-CN"/>
        </w:rPr>
        <w:t>5249.72</w:t>
      </w:r>
      <w:r>
        <w:rPr>
          <w:rFonts w:hint="eastAsia" w:ascii="仿宋_GB2312" w:hAnsi="Segoe UI" w:eastAsia="仿宋_GB2312" w:cs="仿宋_GB2312"/>
          <w:i w:val="0"/>
          <w:iCs w:val="0"/>
          <w:caps w:val="0"/>
          <w:spacing w:val="0"/>
          <w:sz w:val="32"/>
          <w:szCs w:val="32"/>
          <w:shd w:val="clear" w:fill="FFFFFF"/>
        </w:rPr>
        <w:t>万元，占</w:t>
      </w:r>
      <w:r>
        <w:rPr>
          <w:rFonts w:hint="eastAsia" w:ascii="仿宋_GB2312" w:hAnsi="Segoe UI" w:eastAsia="仿宋_GB2312" w:cs="仿宋_GB2312"/>
          <w:i w:val="0"/>
          <w:iCs w:val="0"/>
          <w:caps w:val="0"/>
          <w:spacing w:val="0"/>
          <w:sz w:val="32"/>
          <w:szCs w:val="32"/>
          <w:shd w:val="clear" w:fill="FFFFFF"/>
          <w:lang w:val="en-US" w:eastAsia="zh-CN"/>
        </w:rPr>
        <w:t>94.07</w:t>
      </w:r>
      <w:r>
        <w:rPr>
          <w:rFonts w:hint="eastAsia" w:ascii="仿宋_GB2312" w:hAnsi="Segoe UI" w:eastAsia="仿宋_GB2312" w:cs="仿宋_GB2312"/>
          <w:i w:val="0"/>
          <w:iCs w:val="0"/>
          <w:caps w:val="0"/>
          <w:spacing w:val="0"/>
          <w:sz w:val="32"/>
          <w:szCs w:val="32"/>
          <w:shd w:val="clear" w:fill="FFFFFF"/>
        </w:rPr>
        <w:t>％</w:t>
      </w:r>
      <w:r>
        <w:rPr>
          <w:rFonts w:hint="eastAsia" w:ascii="仿宋_GB2312" w:hAnsi="Segoe UI" w:eastAsia="仿宋_GB2312" w:cs="仿宋_GB2312"/>
          <w:i w:val="0"/>
          <w:iCs w:val="0"/>
          <w:caps w:val="0"/>
          <w:spacing w:val="0"/>
          <w:sz w:val="32"/>
          <w:szCs w:val="32"/>
          <w:shd w:val="clear" w:fill="FFFFFF"/>
          <w:lang w:eastAsia="zh-CN"/>
        </w:rPr>
        <w:t>，主要是对社会保险基金的补助及其他对个人和家庭的补助；</w:t>
      </w:r>
      <w:r>
        <w:rPr>
          <w:rFonts w:hint="eastAsia" w:ascii="仿宋_GB2312" w:hAnsi="Segoe UI" w:eastAsia="仿宋_GB2312" w:cs="仿宋_GB2312"/>
          <w:i w:val="0"/>
          <w:iCs w:val="0"/>
          <w:caps w:val="0"/>
          <w:spacing w:val="0"/>
          <w:sz w:val="32"/>
          <w:szCs w:val="32"/>
          <w:shd w:val="clear" w:fill="FFFFFF"/>
        </w:rPr>
        <w:t>无上缴上级支出；无经营支出；无对附属单位补助支出。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default" w:ascii="黑体" w:hAnsi="黑体" w:eastAsia="黑体" w:cs="黑体"/>
          <w:b w:val="0"/>
          <w:bCs w:val="0"/>
          <w:i w:val="0"/>
          <w:iCs w:val="0"/>
          <w:caps w:val="0"/>
          <w:spacing w:val="0"/>
          <w:sz w:val="32"/>
          <w:szCs w:val="32"/>
          <w:shd w:val="clear" w:fill="FFFFFF"/>
        </w:rPr>
      </w:pPr>
      <w:r>
        <w:rPr>
          <w:rFonts w:hint="eastAsia" w:ascii="黑体" w:hAnsi="黑体" w:eastAsia="黑体" w:cs="黑体"/>
          <w:b w:val="0"/>
          <w:bCs w:val="0"/>
          <w:i w:val="0"/>
          <w:iCs w:val="0"/>
          <w:caps w:val="0"/>
          <w:spacing w:val="0"/>
          <w:sz w:val="32"/>
          <w:szCs w:val="32"/>
          <w:shd w:val="clear" w:fill="FFFFFF"/>
        </w:rPr>
        <w:t>三、预算绩效管理情况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560" w:lineRule="exact"/>
        <w:ind w:left="640" w:leftChars="0" w:right="0" w:rightChars="0"/>
        <w:textAlignment w:val="auto"/>
        <w:rPr>
          <w:rFonts w:hint="default" w:ascii="楷体" w:hAnsi="楷体" w:eastAsia="楷体" w:cs="楷体"/>
          <w:b/>
          <w:bCs/>
          <w:i w:val="0"/>
          <w:iCs w:val="0"/>
          <w:caps w:val="0"/>
          <w:spacing w:val="0"/>
          <w:sz w:val="32"/>
          <w:szCs w:val="32"/>
          <w:shd w:val="clear" w:fill="FFFFFF"/>
          <w:lang w:eastAsia="zh-CN"/>
        </w:rPr>
      </w:pPr>
      <w:r>
        <w:rPr>
          <w:rFonts w:hint="eastAsia" w:ascii="楷体" w:hAnsi="楷体" w:eastAsia="楷体" w:cs="楷体"/>
          <w:b/>
          <w:bCs/>
          <w:i w:val="0"/>
          <w:iCs w:val="0"/>
          <w:caps w:val="0"/>
          <w:spacing w:val="0"/>
          <w:sz w:val="32"/>
          <w:szCs w:val="32"/>
          <w:shd w:val="clear" w:fill="FFFFFF"/>
          <w:lang w:eastAsia="zh-CN"/>
        </w:rPr>
        <w:t>（一）部门预算管理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仿宋_GB2312" w:hAnsi="Segoe UI" w:eastAsia="仿宋_GB2312" w:cs="仿宋_GB2312"/>
          <w:i w:val="0"/>
          <w:iCs w:val="0"/>
          <w:caps w:val="0"/>
          <w:spacing w:val="0"/>
          <w:sz w:val="32"/>
          <w:szCs w:val="32"/>
          <w:shd w:val="clear" w:fill="FFFFFF"/>
        </w:rPr>
      </w:pPr>
      <w:r>
        <w:rPr>
          <w:rFonts w:hint="eastAsia" w:ascii="仿宋_GB2312" w:hAnsi="Segoe UI" w:eastAsia="仿宋_GB2312" w:cs="仿宋_GB2312"/>
          <w:b/>
          <w:bCs/>
          <w:i w:val="0"/>
          <w:iCs w:val="0"/>
          <w:caps w:val="0"/>
          <w:spacing w:val="0"/>
          <w:sz w:val="32"/>
          <w:szCs w:val="32"/>
          <w:shd w:val="clear" w:fill="FFFFFF"/>
        </w:rPr>
        <w:t>部门整体支出绩效目标：</w:t>
      </w:r>
      <w:r>
        <w:rPr>
          <w:rFonts w:hint="eastAsia" w:ascii="仿宋_GB2312" w:hAnsi="Segoe UI" w:eastAsia="仿宋_GB2312" w:cs="仿宋_GB2312"/>
          <w:i w:val="0"/>
          <w:iCs w:val="0"/>
          <w:caps w:val="0"/>
          <w:spacing w:val="0"/>
          <w:sz w:val="32"/>
          <w:szCs w:val="32"/>
          <w:shd w:val="clear" w:fill="FFFFFF"/>
        </w:rPr>
        <w:t>根据</w:t>
      </w:r>
      <w:r>
        <w:rPr>
          <w:rFonts w:hint="eastAsia" w:ascii="仿宋_GB2312" w:hAnsi="Segoe UI" w:eastAsia="仿宋_GB2312" w:cs="仿宋_GB2312"/>
          <w:i w:val="0"/>
          <w:iCs w:val="0"/>
          <w:caps w:val="0"/>
          <w:spacing w:val="0"/>
          <w:sz w:val="32"/>
          <w:szCs w:val="32"/>
          <w:shd w:val="clear" w:fill="FFFFFF"/>
          <w:lang w:eastAsia="zh-CN"/>
        </w:rPr>
        <w:t>区</w:t>
      </w:r>
      <w:r>
        <w:rPr>
          <w:rFonts w:hint="eastAsia" w:ascii="仿宋_GB2312" w:hAnsi="Segoe UI" w:eastAsia="仿宋_GB2312" w:cs="仿宋_GB2312"/>
          <w:i w:val="0"/>
          <w:iCs w:val="0"/>
          <w:caps w:val="0"/>
          <w:spacing w:val="0"/>
          <w:sz w:val="32"/>
          <w:szCs w:val="32"/>
          <w:shd w:val="clear" w:fill="FFFFFF"/>
        </w:rPr>
        <w:t>级财政部门预算安排的支出，以发挥资金的使用效益为目标，合理安排各项经济业务开支，办理各项人员支出，在资金的使用上达到“量入为出，统筹兼顾，保证重点，兼顾一般，收支平衡”。贯彻落实国务院，省、市</w:t>
      </w:r>
      <w:r>
        <w:rPr>
          <w:rFonts w:hint="eastAsia" w:ascii="仿宋_GB2312" w:hAnsi="Segoe UI" w:eastAsia="仿宋_GB2312" w:cs="仿宋_GB2312"/>
          <w:i w:val="0"/>
          <w:iCs w:val="0"/>
          <w:caps w:val="0"/>
          <w:spacing w:val="0"/>
          <w:sz w:val="32"/>
          <w:szCs w:val="32"/>
          <w:shd w:val="clear" w:fill="FFFFFF"/>
          <w:lang w:eastAsia="zh-CN"/>
        </w:rPr>
        <w:t>、区</w:t>
      </w:r>
      <w:r>
        <w:rPr>
          <w:rFonts w:hint="eastAsia" w:ascii="仿宋_GB2312" w:hAnsi="Segoe UI" w:eastAsia="仿宋_GB2312" w:cs="仿宋_GB2312"/>
          <w:i w:val="0"/>
          <w:iCs w:val="0"/>
          <w:caps w:val="0"/>
          <w:spacing w:val="0"/>
          <w:sz w:val="32"/>
          <w:szCs w:val="32"/>
          <w:shd w:val="clear" w:fill="FFFFFF"/>
        </w:rPr>
        <w:t>党委、政府稳增长的各项政策措施，在带动部门各项工作顺利实施的同时，</w:t>
      </w:r>
      <w:r>
        <w:rPr>
          <w:rFonts w:hint="eastAsia" w:ascii="仿宋_GB2312" w:hAnsi="华文仿宋" w:eastAsia="仿宋_GB2312"/>
          <w:sz w:val="32"/>
          <w:szCs w:val="32"/>
        </w:rPr>
        <w:t>严格按照“兜底线、织密网、建机制”总要求，围绕“促改革、抓重点、防风险、优服务”的工作主线，稳步推进社保领域各项改革</w:t>
      </w:r>
      <w:r>
        <w:rPr>
          <w:rFonts w:hint="eastAsia" w:ascii="仿宋_GB2312" w:hAnsi="华文仿宋" w:eastAsia="仿宋_GB2312"/>
          <w:sz w:val="32"/>
          <w:szCs w:val="32"/>
          <w:lang w:eastAsia="zh-CN"/>
        </w:rPr>
        <w:t>，</w:t>
      </w:r>
      <w:r>
        <w:rPr>
          <w:rFonts w:hint="eastAsia" w:ascii="仿宋_GB2312" w:hAnsi="华文仿宋" w:eastAsia="仿宋_GB2312"/>
          <w:sz w:val="32"/>
          <w:szCs w:val="32"/>
        </w:rPr>
        <w:t>统筹推进社会保险各项经办工作。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default" w:ascii="Segoe UI" w:hAnsi="Segoe UI" w:eastAsia="Segoe UI" w:cs="Segoe UI"/>
          <w:i w:val="0"/>
          <w:iCs w:val="0"/>
          <w:caps w:val="0"/>
          <w:spacing w:val="0"/>
          <w:sz w:val="21"/>
          <w:szCs w:val="21"/>
        </w:rPr>
      </w:pPr>
      <w:r>
        <w:rPr>
          <w:rFonts w:hint="eastAsia" w:ascii="仿宋_GB2312" w:hAnsi="Segoe UI" w:eastAsia="仿宋_GB2312" w:cs="仿宋_GB2312"/>
          <w:b/>
          <w:bCs/>
          <w:i w:val="0"/>
          <w:iCs w:val="0"/>
          <w:caps w:val="0"/>
          <w:spacing w:val="0"/>
          <w:sz w:val="32"/>
          <w:szCs w:val="32"/>
          <w:shd w:val="clear" w:fill="FFFFFF"/>
        </w:rPr>
        <w:t>预算编制：</w:t>
      </w:r>
      <w:r>
        <w:rPr>
          <w:rFonts w:hint="eastAsia" w:ascii="仿宋_GB2312" w:hAnsi="Segoe UI" w:eastAsia="仿宋_GB2312" w:cs="仿宋_GB2312"/>
          <w:i w:val="0"/>
          <w:iCs w:val="0"/>
          <w:caps w:val="0"/>
          <w:spacing w:val="0"/>
          <w:sz w:val="32"/>
          <w:szCs w:val="32"/>
          <w:shd w:val="clear" w:fill="FFFFFF"/>
        </w:rPr>
        <w:t>为进一步加强预算资金的管理，严格预算执行，提高财政资金的使用效益，我</w:t>
      </w:r>
      <w:r>
        <w:rPr>
          <w:rFonts w:hint="eastAsia" w:ascii="仿宋_GB2312" w:hAnsi="Segoe UI" w:eastAsia="仿宋_GB2312" w:cs="仿宋_GB2312"/>
          <w:i w:val="0"/>
          <w:iCs w:val="0"/>
          <w:caps w:val="0"/>
          <w:spacing w:val="0"/>
          <w:sz w:val="32"/>
          <w:szCs w:val="32"/>
          <w:shd w:val="clear" w:fill="FFFFFF"/>
          <w:lang w:eastAsia="zh-CN"/>
        </w:rPr>
        <w:t>区</w:t>
      </w:r>
      <w:r>
        <w:rPr>
          <w:rFonts w:hint="eastAsia" w:ascii="仿宋_GB2312" w:hAnsi="Segoe UI" w:eastAsia="仿宋_GB2312" w:cs="仿宋_GB2312"/>
          <w:i w:val="0"/>
          <w:iCs w:val="0"/>
          <w:caps w:val="0"/>
          <w:spacing w:val="0"/>
          <w:sz w:val="32"/>
          <w:szCs w:val="32"/>
          <w:shd w:val="clear" w:fill="FFFFFF"/>
        </w:rPr>
        <w:t>重点开展了以下几方面的工作：遵守《预算法》、《会计法》、《会计基础工作规范》、《党政机关厉行节约反对浪费条例》，根据</w:t>
      </w:r>
      <w:r>
        <w:rPr>
          <w:rFonts w:hint="eastAsia" w:ascii="仿宋_GB2312" w:hAnsi="Segoe UI" w:eastAsia="仿宋_GB2312" w:cs="仿宋_GB2312"/>
          <w:i w:val="0"/>
          <w:iCs w:val="0"/>
          <w:caps w:val="0"/>
          <w:spacing w:val="0"/>
          <w:sz w:val="32"/>
          <w:szCs w:val="32"/>
          <w:shd w:val="clear" w:fill="FFFFFF"/>
          <w:lang w:eastAsia="zh-CN"/>
        </w:rPr>
        <w:t>区</w:t>
      </w:r>
      <w:r>
        <w:rPr>
          <w:rFonts w:hint="eastAsia" w:ascii="仿宋_GB2312" w:hAnsi="Segoe UI" w:eastAsia="仿宋_GB2312" w:cs="仿宋_GB2312"/>
          <w:i w:val="0"/>
          <w:iCs w:val="0"/>
          <w:caps w:val="0"/>
          <w:spacing w:val="0"/>
          <w:sz w:val="32"/>
          <w:szCs w:val="32"/>
          <w:shd w:val="clear" w:fill="FFFFFF"/>
        </w:rPr>
        <w:t>财政局关于年度预算编制的要求，以政府收支分类科目为依据，按照单位人员、单位固定资产情况、预算单位组织的收入情况等信息认真编制部门预算。严格执行</w:t>
      </w:r>
      <w:r>
        <w:rPr>
          <w:rFonts w:hint="eastAsia" w:ascii="仿宋_GB2312" w:hAnsi="Segoe UI" w:eastAsia="仿宋_GB2312" w:cs="仿宋_GB2312"/>
          <w:i w:val="0"/>
          <w:iCs w:val="0"/>
          <w:caps w:val="0"/>
          <w:spacing w:val="0"/>
          <w:sz w:val="32"/>
          <w:szCs w:val="32"/>
          <w:shd w:val="clear" w:fill="FFFFFF"/>
          <w:lang w:eastAsia="zh-CN"/>
        </w:rPr>
        <w:t>区</w:t>
      </w:r>
      <w:r>
        <w:rPr>
          <w:rFonts w:hint="eastAsia" w:ascii="仿宋_GB2312" w:hAnsi="Segoe UI" w:eastAsia="仿宋_GB2312" w:cs="仿宋_GB2312"/>
          <w:i w:val="0"/>
          <w:iCs w:val="0"/>
          <w:caps w:val="0"/>
          <w:spacing w:val="0"/>
          <w:sz w:val="32"/>
          <w:szCs w:val="32"/>
          <w:shd w:val="clear" w:fill="FFFFFF"/>
        </w:rPr>
        <w:t>财政局批复的年度部门预算，所有费用支出必须在年度预算范围内进行审批，按照规定的用途和范围使用和报销。若需要调整预算及时上报财政部门审核批准执行，达到预算执行差异率控制在5％的目标值.年终认真编制部门决算，保证部门经济活动的真实性、准确性。根据</w:t>
      </w:r>
      <w:r>
        <w:rPr>
          <w:rFonts w:hint="eastAsia" w:ascii="仿宋_GB2312" w:hAnsi="Segoe UI" w:eastAsia="仿宋_GB2312" w:cs="仿宋_GB2312"/>
          <w:i w:val="0"/>
          <w:iCs w:val="0"/>
          <w:caps w:val="0"/>
          <w:spacing w:val="0"/>
          <w:sz w:val="32"/>
          <w:szCs w:val="32"/>
          <w:shd w:val="clear" w:fill="FFFFFF"/>
          <w:lang w:eastAsia="zh-CN"/>
        </w:rPr>
        <w:t>区</w:t>
      </w:r>
      <w:r>
        <w:rPr>
          <w:rFonts w:hint="eastAsia" w:ascii="仿宋_GB2312" w:hAnsi="Segoe UI" w:eastAsia="仿宋_GB2312" w:cs="仿宋_GB2312"/>
          <w:i w:val="0"/>
          <w:iCs w:val="0"/>
          <w:caps w:val="0"/>
          <w:spacing w:val="0"/>
          <w:sz w:val="32"/>
          <w:szCs w:val="32"/>
          <w:shd w:val="clear" w:fill="FFFFFF"/>
        </w:rPr>
        <w:t>财政局统一安排，在规定时间按照统一格式、内容、口径在</w:t>
      </w:r>
      <w:r>
        <w:rPr>
          <w:rFonts w:hint="eastAsia" w:ascii="仿宋_GB2312" w:hAnsi="Segoe UI" w:eastAsia="仿宋_GB2312" w:cs="仿宋_GB2312"/>
          <w:i w:val="0"/>
          <w:iCs w:val="0"/>
          <w:caps w:val="0"/>
          <w:spacing w:val="0"/>
          <w:sz w:val="32"/>
          <w:szCs w:val="32"/>
          <w:shd w:val="clear" w:fill="FFFFFF"/>
          <w:lang w:eastAsia="zh-CN"/>
        </w:rPr>
        <w:t>区</w:t>
      </w:r>
      <w:r>
        <w:rPr>
          <w:rFonts w:hint="eastAsia" w:ascii="仿宋_GB2312" w:hAnsi="Segoe UI" w:eastAsia="仿宋_GB2312" w:cs="仿宋_GB2312"/>
          <w:i w:val="0"/>
          <w:iCs w:val="0"/>
          <w:caps w:val="0"/>
          <w:spacing w:val="0"/>
          <w:sz w:val="32"/>
          <w:szCs w:val="32"/>
          <w:shd w:val="clear" w:fill="FFFFFF"/>
        </w:rPr>
        <w:t>政府网站公开了202</w:t>
      </w:r>
      <w:r>
        <w:rPr>
          <w:rFonts w:hint="eastAsia" w:ascii="仿宋_GB2312" w:hAnsi="Segoe UI" w:eastAsia="仿宋_GB2312" w:cs="仿宋_GB2312"/>
          <w:i w:val="0"/>
          <w:iCs w:val="0"/>
          <w:caps w:val="0"/>
          <w:spacing w:val="0"/>
          <w:sz w:val="32"/>
          <w:szCs w:val="32"/>
          <w:shd w:val="clear" w:fill="FFFFFF"/>
          <w:lang w:val="en-US" w:eastAsia="zh-CN"/>
        </w:rPr>
        <w:t>1</w:t>
      </w:r>
      <w:r>
        <w:rPr>
          <w:rFonts w:hint="eastAsia" w:ascii="仿宋_GB2312" w:hAnsi="Segoe UI" w:eastAsia="仿宋_GB2312" w:cs="仿宋_GB2312"/>
          <w:i w:val="0"/>
          <w:iCs w:val="0"/>
          <w:caps w:val="0"/>
          <w:spacing w:val="0"/>
          <w:sz w:val="32"/>
          <w:szCs w:val="32"/>
          <w:shd w:val="clear" w:fill="FFFFFF"/>
        </w:rPr>
        <w:t>年部门决算、202</w:t>
      </w:r>
      <w:r>
        <w:rPr>
          <w:rFonts w:hint="eastAsia" w:ascii="仿宋_GB2312" w:hAnsi="Segoe UI" w:eastAsia="仿宋_GB2312" w:cs="仿宋_GB2312"/>
          <w:i w:val="0"/>
          <w:iCs w:val="0"/>
          <w:caps w:val="0"/>
          <w:spacing w:val="0"/>
          <w:sz w:val="32"/>
          <w:szCs w:val="32"/>
          <w:shd w:val="clear" w:fill="FFFFFF"/>
          <w:lang w:val="en-US" w:eastAsia="zh-CN"/>
        </w:rPr>
        <w:t>2</w:t>
      </w:r>
      <w:r>
        <w:rPr>
          <w:rFonts w:hint="eastAsia" w:ascii="仿宋_GB2312" w:hAnsi="Segoe UI" w:eastAsia="仿宋_GB2312" w:cs="仿宋_GB2312"/>
          <w:i w:val="0"/>
          <w:iCs w:val="0"/>
          <w:caps w:val="0"/>
          <w:spacing w:val="0"/>
          <w:sz w:val="32"/>
          <w:szCs w:val="32"/>
          <w:shd w:val="clear" w:fill="FFFFFF"/>
        </w:rPr>
        <w:t>年部门预算，做到基础数据真实、准确、完整。预算调整及执行进度：主要是不可预计的人员支出调整</w:t>
      </w:r>
      <w:r>
        <w:rPr>
          <w:rFonts w:hint="eastAsia" w:ascii="仿宋_GB2312" w:hAnsi="Segoe UI" w:eastAsia="仿宋_GB2312" w:cs="仿宋_GB2312"/>
          <w:i w:val="0"/>
          <w:iCs w:val="0"/>
          <w:caps w:val="0"/>
          <w:spacing w:val="0"/>
          <w:sz w:val="32"/>
          <w:szCs w:val="32"/>
          <w:shd w:val="clear" w:fill="FFFFFF"/>
          <w:lang w:eastAsia="zh-CN"/>
        </w:rPr>
        <w:t>、中央、省、市、区级财政对社会保险基金补助的变动等情况。</w:t>
      </w:r>
      <w:r>
        <w:rPr>
          <w:rFonts w:hint="eastAsia" w:ascii="仿宋_GB2312" w:hAnsi="Segoe UI" w:eastAsia="仿宋_GB2312" w:cs="仿宋_GB2312"/>
          <w:i w:val="0"/>
          <w:iCs w:val="0"/>
          <w:caps w:val="0"/>
          <w:spacing w:val="0"/>
          <w:sz w:val="32"/>
          <w:szCs w:val="32"/>
          <w:shd w:val="clear" w:fill="FFFFFF"/>
        </w:rPr>
        <w:t>实际年终执行率为</w:t>
      </w:r>
      <w:r>
        <w:rPr>
          <w:rFonts w:hint="eastAsia" w:ascii="仿宋_GB2312" w:hAnsi="Segoe UI" w:eastAsia="仿宋_GB2312" w:cs="仿宋_GB2312"/>
          <w:i w:val="0"/>
          <w:iCs w:val="0"/>
          <w:caps w:val="0"/>
          <w:spacing w:val="0"/>
          <w:sz w:val="32"/>
          <w:szCs w:val="32"/>
          <w:shd w:val="clear" w:fill="FFFFFF"/>
          <w:lang w:val="en-US" w:eastAsia="zh-CN"/>
        </w:rPr>
        <w:t>100</w:t>
      </w:r>
      <w:r>
        <w:rPr>
          <w:rFonts w:hint="eastAsia" w:ascii="仿宋_GB2312" w:hAnsi="Segoe UI" w:eastAsia="仿宋_GB2312" w:cs="仿宋_GB2312"/>
          <w:i w:val="0"/>
          <w:iCs w:val="0"/>
          <w:caps w:val="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楷体" w:hAnsi="楷体" w:eastAsia="楷体" w:cs="楷体"/>
          <w:b/>
          <w:bCs/>
          <w:i w:val="0"/>
          <w:iCs w:val="0"/>
          <w:caps w:val="0"/>
          <w:spacing w:val="0"/>
          <w:sz w:val="21"/>
          <w:szCs w:val="21"/>
        </w:rPr>
      </w:pPr>
      <w:r>
        <w:rPr>
          <w:rFonts w:hint="eastAsia" w:ascii="楷体" w:hAnsi="楷体" w:eastAsia="楷体" w:cs="楷体"/>
          <w:b/>
          <w:bCs/>
          <w:i w:val="0"/>
          <w:iCs w:val="0"/>
          <w:caps w:val="0"/>
          <w:spacing w:val="0"/>
          <w:sz w:val="32"/>
          <w:szCs w:val="32"/>
          <w:shd w:val="clear" w:fill="FFFFFF"/>
        </w:rPr>
        <w:t>（二）结果应用情况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default" w:ascii="Segoe UI" w:hAnsi="Segoe UI" w:eastAsia="Segoe UI" w:cs="Segoe UI"/>
          <w:i w:val="0"/>
          <w:iCs w:val="0"/>
          <w:caps w:val="0"/>
          <w:spacing w:val="0"/>
          <w:sz w:val="21"/>
          <w:szCs w:val="21"/>
        </w:rPr>
      </w:pPr>
      <w:r>
        <w:rPr>
          <w:rFonts w:hint="eastAsia" w:ascii="仿宋_GB2312" w:hAnsi="Segoe UI" w:eastAsia="仿宋_GB2312" w:cs="仿宋_GB2312"/>
          <w:i w:val="0"/>
          <w:iCs w:val="0"/>
          <w:caps w:val="0"/>
          <w:spacing w:val="0"/>
          <w:sz w:val="32"/>
          <w:szCs w:val="32"/>
          <w:shd w:val="clear" w:fill="FFFFFF"/>
        </w:rPr>
        <w:t>202</w:t>
      </w:r>
      <w:r>
        <w:rPr>
          <w:rFonts w:hint="eastAsia" w:ascii="仿宋_GB2312" w:hAnsi="Segoe UI" w:eastAsia="仿宋_GB2312" w:cs="仿宋_GB2312"/>
          <w:i w:val="0"/>
          <w:iCs w:val="0"/>
          <w:caps w:val="0"/>
          <w:spacing w:val="0"/>
          <w:sz w:val="32"/>
          <w:szCs w:val="32"/>
          <w:shd w:val="clear" w:fill="FFFFFF"/>
          <w:lang w:val="en-US" w:eastAsia="zh-CN"/>
        </w:rPr>
        <w:t>2</w:t>
      </w:r>
      <w:r>
        <w:rPr>
          <w:rFonts w:hint="eastAsia" w:ascii="仿宋_GB2312" w:hAnsi="Segoe UI" w:eastAsia="仿宋_GB2312" w:cs="仿宋_GB2312"/>
          <w:i w:val="0"/>
          <w:iCs w:val="0"/>
          <w:caps w:val="0"/>
          <w:spacing w:val="0"/>
          <w:sz w:val="32"/>
          <w:szCs w:val="32"/>
          <w:shd w:val="clear" w:fill="FFFFFF"/>
        </w:rPr>
        <w:t>年积极推动单位内部控制建设，制定了单位内部控制制度、财务管理制度、后勤接待制度等，配备专职财务人员进行经济业务核算。严格财务审批制度，明确支出审批手续，财务支出严格按照先由财务部门审核，符合规定的报办公室主任审批、最后由分管副主任签批的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default" w:ascii="Segoe UI" w:hAnsi="Segoe UI" w:eastAsia="Segoe UI" w:cs="Segoe UI"/>
          <w:i w:val="0"/>
          <w:iCs w:val="0"/>
          <w:caps w:val="0"/>
          <w:spacing w:val="0"/>
          <w:sz w:val="21"/>
          <w:szCs w:val="21"/>
        </w:rPr>
      </w:pPr>
      <w:r>
        <w:rPr>
          <w:rFonts w:hint="eastAsia" w:ascii="仿宋_GB2312" w:hAnsi="Segoe UI" w:eastAsia="仿宋_GB2312" w:cs="仿宋_GB2312"/>
          <w:i w:val="0"/>
          <w:iCs w:val="0"/>
          <w:caps w:val="0"/>
          <w:spacing w:val="0"/>
          <w:sz w:val="32"/>
          <w:szCs w:val="32"/>
          <w:shd w:val="clear" w:fill="FFFFFF"/>
        </w:rPr>
        <w:t>积极推行公务卡结算，财务</w:t>
      </w:r>
      <w:r>
        <w:rPr>
          <w:rFonts w:hint="eastAsia" w:ascii="仿宋_GB2312" w:hAnsi="Segoe UI" w:eastAsia="仿宋_GB2312" w:cs="仿宋_GB2312"/>
          <w:i w:val="0"/>
          <w:iCs w:val="0"/>
          <w:caps w:val="0"/>
          <w:spacing w:val="0"/>
          <w:sz w:val="32"/>
          <w:szCs w:val="32"/>
          <w:shd w:val="clear" w:fill="FFFFFF"/>
          <w:lang w:eastAsia="zh-CN"/>
        </w:rPr>
        <w:t>一</w:t>
      </w:r>
      <w:r>
        <w:rPr>
          <w:rFonts w:hint="eastAsia" w:ascii="仿宋_GB2312" w:hAnsi="Segoe UI" w:eastAsia="仿宋_GB2312" w:cs="仿宋_GB2312"/>
          <w:i w:val="0"/>
          <w:iCs w:val="0"/>
          <w:caps w:val="0"/>
          <w:spacing w:val="0"/>
          <w:sz w:val="32"/>
          <w:szCs w:val="32"/>
          <w:shd w:val="clear" w:fill="FFFFFF"/>
        </w:rPr>
        <w:t>般不以现金方式支付报账款与借款；设备购置及向社会购买服务</w:t>
      </w:r>
      <w:r>
        <w:rPr>
          <w:rFonts w:hint="eastAsia" w:ascii="仿宋_GB2312" w:hAnsi="Segoe UI" w:eastAsia="仿宋_GB2312" w:cs="仿宋_GB2312"/>
          <w:i w:val="0"/>
          <w:iCs w:val="0"/>
          <w:caps w:val="0"/>
          <w:spacing w:val="0"/>
          <w:sz w:val="32"/>
          <w:szCs w:val="32"/>
          <w:shd w:val="clear" w:fill="FFFFFF"/>
          <w:lang w:eastAsia="zh-CN"/>
        </w:rPr>
        <w:t>一</w:t>
      </w:r>
      <w:r>
        <w:rPr>
          <w:rFonts w:hint="eastAsia" w:ascii="仿宋_GB2312" w:hAnsi="Segoe UI" w:eastAsia="仿宋_GB2312" w:cs="仿宋_GB2312"/>
          <w:i w:val="0"/>
          <w:iCs w:val="0"/>
          <w:caps w:val="0"/>
          <w:spacing w:val="0"/>
          <w:sz w:val="32"/>
          <w:szCs w:val="32"/>
          <w:shd w:val="clear" w:fill="FFFFFF"/>
        </w:rPr>
        <w:t>律履行政府采购程序，办公用品采取集中定点采购；会议费、差旅费、培训费和“三公经费”坚决按相关文件规定执行，完善审批、预算手续，做到附件依据齐全，杜绝一切超标准、超预算的开支；从严从紧控制聘、借用人员，严格聘、借用审批程序和合同管理；加强非税收入管理，严格执行收支两条线；加强监督检查，做好机关财务自查自审，发现问题及时制定措施组织整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Segoe UI" w:eastAsia="仿宋_GB2312" w:cs="仿宋_GB2312"/>
          <w:b/>
          <w:bCs/>
          <w:i w:val="0"/>
          <w:iCs w:val="0"/>
          <w:caps w:val="0"/>
          <w:spacing w:val="0"/>
          <w:sz w:val="32"/>
          <w:szCs w:val="32"/>
          <w:shd w:val="clear" w:fill="FFFFFF"/>
        </w:rPr>
      </w:pPr>
      <w:r>
        <w:rPr>
          <w:rFonts w:hint="eastAsia" w:ascii="仿宋_GB2312" w:hAnsi="Segoe UI" w:eastAsia="仿宋_GB2312" w:cs="仿宋_GB2312"/>
          <w:b/>
          <w:bCs/>
          <w:i w:val="0"/>
          <w:iCs w:val="0"/>
          <w:caps w:val="0"/>
          <w:spacing w:val="0"/>
          <w:sz w:val="32"/>
          <w:szCs w:val="32"/>
          <w:shd w:val="clear" w:fill="FFFFFF"/>
        </w:rPr>
        <w:t>202</w:t>
      </w:r>
      <w:r>
        <w:rPr>
          <w:rFonts w:hint="eastAsia" w:ascii="仿宋_GB2312" w:hAnsi="Segoe UI" w:eastAsia="仿宋_GB2312" w:cs="仿宋_GB2312"/>
          <w:b/>
          <w:bCs/>
          <w:i w:val="0"/>
          <w:iCs w:val="0"/>
          <w:caps w:val="0"/>
          <w:spacing w:val="0"/>
          <w:sz w:val="32"/>
          <w:szCs w:val="32"/>
          <w:shd w:val="clear" w:fill="FFFFFF"/>
          <w:lang w:val="en-US" w:eastAsia="zh-CN"/>
        </w:rPr>
        <w:t>2</w:t>
      </w:r>
      <w:r>
        <w:rPr>
          <w:rFonts w:hint="eastAsia" w:ascii="仿宋_GB2312" w:hAnsi="Segoe UI" w:eastAsia="仿宋_GB2312" w:cs="仿宋_GB2312"/>
          <w:b/>
          <w:bCs/>
          <w:i w:val="0"/>
          <w:iCs w:val="0"/>
          <w:caps w:val="0"/>
          <w:spacing w:val="0"/>
          <w:sz w:val="32"/>
          <w:szCs w:val="32"/>
          <w:shd w:val="clear" w:fill="FFFFFF"/>
        </w:rPr>
        <w:t>年绩效完成：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楷体_GB2312" w:hAnsi="仿宋_GB2312" w:eastAsia="楷体_GB2312" w:cs="仿宋_GB2312"/>
          <w:b/>
          <w:sz w:val="32"/>
          <w:szCs w:val="32"/>
          <w:lang w:eastAsia="zh-CN"/>
        </w:rPr>
        <w:t>一是</w:t>
      </w:r>
      <w:r>
        <w:rPr>
          <w:rFonts w:hint="eastAsia" w:ascii="楷体_GB2312" w:hAnsi="仿宋_GB2312" w:eastAsia="楷体_GB2312" w:cs="仿宋_GB2312"/>
          <w:b/>
          <w:sz w:val="32"/>
          <w:szCs w:val="32"/>
        </w:rPr>
        <w:t>社会保险重点工作完成情况</w:t>
      </w:r>
      <w:r>
        <w:rPr>
          <w:rFonts w:hint="eastAsia" w:ascii="楷体_GB2312" w:hAnsi="仿宋_GB2312" w:eastAsia="楷体_GB2312" w:cs="仿宋_GB2312"/>
          <w:b/>
          <w:sz w:val="32"/>
          <w:szCs w:val="32"/>
          <w:lang w:eastAsia="zh-CN"/>
        </w:rPr>
        <w:t>：</w:t>
      </w:r>
      <w:r>
        <w:rPr>
          <w:rFonts w:hint="eastAsia" w:ascii="楷体_GB2312" w:hAnsi="仿宋_GB2312" w:eastAsia="楷体_GB2312" w:cs="仿宋_GB2312"/>
          <w:b/>
          <w:sz w:val="32"/>
          <w:szCs w:val="32"/>
        </w:rPr>
        <w:t>1.企业职工养老保险。</w:t>
      </w:r>
      <w:r>
        <w:rPr>
          <w:rFonts w:hint="eastAsia" w:ascii="仿宋_GB2312" w:hAnsi="仿宋_GB2312" w:eastAsia="仿宋_GB2312" w:cs="仿宋_GB2312"/>
          <w:sz w:val="32"/>
          <w:szCs w:val="32"/>
        </w:rPr>
        <w:t>2022年缴费人数增长率指标为3%，实际完成3%，完成目标任务的100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；年预算基金收入</w:t>
      </w:r>
      <w:r>
        <w:rPr>
          <w:rFonts w:ascii="仿宋_GB2312" w:hAnsi="仿宋_GB2312" w:eastAsia="仿宋_GB2312" w:cs="仿宋_GB2312"/>
          <w:sz w:val="32"/>
          <w:szCs w:val="32"/>
        </w:rPr>
        <w:t>32470</w:t>
      </w:r>
      <w:r>
        <w:rPr>
          <w:rFonts w:hint="eastAsia" w:ascii="仿宋_GB2312" w:hAnsi="仿宋_GB2312" w:eastAsia="仿宋_GB2312" w:cs="仿宋_GB2312"/>
          <w:sz w:val="32"/>
          <w:szCs w:val="32"/>
        </w:rPr>
        <w:t>万元，实际收入</w:t>
      </w:r>
      <w:r>
        <w:rPr>
          <w:rFonts w:hint="eastAsia" w:ascii="仿宋_GB2312" w:hAnsi="仿宋_GB2312" w:eastAsia="仿宋_GB2312" w:cs="仿宋_GB2312"/>
          <w:sz w:val="32"/>
          <w:szCs w:val="32"/>
          <w:lang w:val="en-US" w:eastAsia="zh-CN"/>
        </w:rPr>
        <w:t>33858.27</w:t>
      </w:r>
      <w:r>
        <w:rPr>
          <w:rFonts w:hint="eastAsia" w:ascii="仿宋_GB2312" w:hAnsi="仿宋_GB2312" w:eastAsia="仿宋_GB2312" w:cs="仿宋_GB2312"/>
          <w:sz w:val="32"/>
          <w:szCs w:val="32"/>
        </w:rPr>
        <w:t>万元，完成目标任务的100%；年预算基金支出60929万元，实际支出</w:t>
      </w:r>
      <w:r>
        <w:rPr>
          <w:rFonts w:hint="eastAsia" w:ascii="仿宋_GB2312" w:hAnsi="仿宋_GB2312" w:eastAsia="仿宋_GB2312" w:cs="仿宋_GB2312"/>
          <w:sz w:val="32"/>
          <w:szCs w:val="32"/>
          <w:lang w:val="en-US" w:eastAsia="zh-CN"/>
        </w:rPr>
        <w:t>59072.31</w:t>
      </w:r>
      <w:r>
        <w:rPr>
          <w:rFonts w:hint="eastAsia" w:ascii="仿宋_GB2312" w:hAnsi="仿宋_GB2312" w:eastAsia="仿宋_GB2312" w:cs="仿宋_GB2312"/>
          <w:sz w:val="32"/>
          <w:szCs w:val="32"/>
        </w:rPr>
        <w:t>万元，完成目标任务的</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w:t>
      </w:r>
      <w:r>
        <w:rPr>
          <w:rFonts w:hint="eastAsia" w:ascii="楷体_GB2312" w:hAnsi="仿宋_GB2312" w:eastAsia="楷体_GB2312" w:cs="仿宋_GB2312"/>
          <w:b/>
          <w:sz w:val="32"/>
          <w:szCs w:val="32"/>
        </w:rPr>
        <w:t>2.机关事业单位养老保险。</w:t>
      </w:r>
      <w:r>
        <w:rPr>
          <w:rFonts w:hint="eastAsia" w:ascii="仿宋_GB2312" w:hAnsi="仿宋_GB2312" w:eastAsia="仿宋_GB2312" w:cs="仿宋_GB2312"/>
          <w:sz w:val="32"/>
          <w:szCs w:val="32"/>
        </w:rPr>
        <w:t>2022年参保人员缴费率指标为98%，实际完成100%；年预算基金支出32722万元，实际支出</w:t>
      </w:r>
      <w:r>
        <w:rPr>
          <w:rFonts w:hint="eastAsia" w:ascii="仿宋_GB2312" w:hAnsi="仿宋_GB2312" w:eastAsia="仿宋_GB2312" w:cs="仿宋_GB2312"/>
          <w:sz w:val="32"/>
          <w:szCs w:val="32"/>
          <w:lang w:val="en-US" w:eastAsia="zh-CN"/>
        </w:rPr>
        <w:t>31761.09</w:t>
      </w:r>
      <w:r>
        <w:rPr>
          <w:rFonts w:hint="eastAsia" w:ascii="仿宋_GB2312" w:hAnsi="仿宋_GB2312" w:eastAsia="仿宋_GB2312" w:cs="仿宋_GB2312"/>
          <w:sz w:val="32"/>
          <w:szCs w:val="32"/>
        </w:rPr>
        <w:t>万元，完成目标任务的</w:t>
      </w:r>
      <w:r>
        <w:rPr>
          <w:rFonts w:hint="eastAsia" w:ascii="仿宋_GB2312" w:hAnsi="仿宋_GB2312" w:eastAsia="仿宋_GB2312" w:cs="仿宋_GB2312"/>
          <w:sz w:val="32"/>
          <w:szCs w:val="32"/>
          <w:lang w:val="en-US" w:eastAsia="zh-CN"/>
        </w:rPr>
        <w:t>97.1</w:t>
      </w:r>
      <w:r>
        <w:rPr>
          <w:rFonts w:hint="eastAsia" w:ascii="仿宋_GB2312" w:hAnsi="仿宋_GB2312" w:eastAsia="仿宋_GB2312" w:cs="仿宋_GB2312"/>
          <w:sz w:val="32"/>
          <w:szCs w:val="32"/>
        </w:rPr>
        <w:t>%。</w:t>
      </w:r>
      <w:r>
        <w:rPr>
          <w:rFonts w:hint="eastAsia" w:ascii="仿宋_GB2312" w:hAnsi="宋体" w:eastAsia="仿宋_GB2312" w:cs="宋体"/>
          <w:b/>
          <w:color w:val="000000"/>
          <w:kern w:val="0"/>
          <w:sz w:val="32"/>
          <w:szCs w:val="32"/>
        </w:rPr>
        <w:t>3.</w:t>
      </w:r>
      <w:r>
        <w:rPr>
          <w:rFonts w:hint="eastAsia" w:ascii="仿宋_GB2312" w:eastAsia="仿宋_GB2312"/>
          <w:b/>
          <w:bCs/>
          <w:sz w:val="32"/>
          <w:szCs w:val="32"/>
        </w:rPr>
        <w:t>城乡居民基本养老保险。</w:t>
      </w:r>
      <w:r>
        <w:rPr>
          <w:rFonts w:hint="eastAsia" w:ascii="仿宋_GB2312" w:hAnsi="宋体" w:eastAsia="仿宋_GB2312" w:cs="宋体"/>
          <w:bCs/>
          <w:kern w:val="0"/>
          <w:sz w:val="32"/>
          <w:szCs w:val="32"/>
        </w:rPr>
        <w:t>2022年</w:t>
      </w:r>
      <w:r>
        <w:rPr>
          <w:rFonts w:ascii="仿宋_GB2312" w:hAnsi="Calibri" w:eastAsia="仿宋_GB2312" w:cs="Times New Roman"/>
          <w:sz w:val="32"/>
          <w:szCs w:val="32"/>
        </w:rPr>
        <w:t>全区参加城乡居民养老保险的人数达</w:t>
      </w:r>
      <w:r>
        <w:rPr>
          <w:rFonts w:hint="eastAsia" w:ascii="仿宋_GB2312" w:hAnsi="宋体" w:eastAsia="仿宋_GB2312" w:cs="宋体"/>
          <w:bCs/>
          <w:kern w:val="0"/>
          <w:sz w:val="32"/>
          <w:szCs w:val="32"/>
        </w:rPr>
        <w:t>24.71万</w:t>
      </w:r>
      <w:r>
        <w:rPr>
          <w:rFonts w:ascii="仿宋_GB2312" w:hAnsi="Calibri" w:eastAsia="仿宋_GB2312" w:cs="Times New Roman"/>
          <w:sz w:val="32"/>
          <w:szCs w:val="32"/>
        </w:rPr>
        <w:t>人，为</w:t>
      </w:r>
      <w:r>
        <w:rPr>
          <w:rFonts w:hint="eastAsia" w:ascii="仿宋_GB2312" w:hAnsi="宋体" w:eastAsia="仿宋_GB2312" w:cs="宋体"/>
          <w:bCs/>
          <w:kern w:val="0"/>
          <w:sz w:val="32"/>
          <w:szCs w:val="32"/>
          <w:lang w:val="en-US" w:eastAsia="zh-CN"/>
        </w:rPr>
        <w:t>5.6</w:t>
      </w:r>
      <w:r>
        <w:rPr>
          <w:rFonts w:hint="eastAsia" w:ascii="仿宋_GB2312" w:hAnsi="宋体" w:eastAsia="仿宋_GB2312" w:cs="宋体"/>
          <w:bCs/>
          <w:kern w:val="0"/>
          <w:sz w:val="32"/>
          <w:szCs w:val="32"/>
        </w:rPr>
        <w:t>万</w:t>
      </w:r>
      <w:r>
        <w:rPr>
          <w:rFonts w:ascii="仿宋_GB2312" w:hAnsi="Calibri" w:eastAsia="仿宋_GB2312" w:cs="Times New Roman"/>
          <w:sz w:val="32"/>
          <w:szCs w:val="32"/>
        </w:rPr>
        <w:t>名符合待遇领取条件的城乡居民发放待遇</w:t>
      </w:r>
      <w:r>
        <w:rPr>
          <w:rFonts w:hint="eastAsia" w:ascii="仿宋_GB2312" w:hAnsi="宋体" w:eastAsia="仿宋_GB2312" w:cs="宋体"/>
          <w:bCs/>
          <w:kern w:val="0"/>
          <w:sz w:val="32"/>
          <w:szCs w:val="32"/>
        </w:rPr>
        <w:t>9</w:t>
      </w:r>
      <w:r>
        <w:rPr>
          <w:rFonts w:hint="eastAsia" w:ascii="仿宋_GB2312" w:hAnsi="宋体" w:eastAsia="仿宋_GB2312" w:cs="宋体"/>
          <w:bCs/>
          <w:kern w:val="0"/>
          <w:sz w:val="32"/>
          <w:szCs w:val="32"/>
          <w:lang w:val="en-US" w:eastAsia="zh-CN"/>
        </w:rPr>
        <w:t>411.22</w:t>
      </w:r>
      <w:r>
        <w:rPr>
          <w:rFonts w:ascii="仿宋_GB2312" w:hAnsi="Calibri" w:eastAsia="仿宋_GB2312" w:cs="Times New Roman"/>
          <w:sz w:val="32"/>
          <w:szCs w:val="32"/>
        </w:rPr>
        <w:t>万元，养老金发放率、及时率达到</w:t>
      </w:r>
      <w:r>
        <w:rPr>
          <w:rFonts w:hint="eastAsia" w:ascii="仿宋_GB2312" w:hAnsi="宋体" w:eastAsia="仿宋_GB2312" w:cs="宋体"/>
          <w:bCs/>
          <w:kern w:val="0"/>
          <w:sz w:val="32"/>
          <w:szCs w:val="32"/>
        </w:rPr>
        <w:t>100%</w:t>
      </w:r>
      <w:r>
        <w:rPr>
          <w:rFonts w:ascii="仿宋_GB2312" w:hAnsi="Calibri" w:eastAsia="仿宋_GB2312" w:cs="Times New Roman"/>
          <w:sz w:val="32"/>
          <w:szCs w:val="32"/>
        </w:rPr>
        <w:t>。</w:t>
      </w:r>
      <w:r>
        <w:rPr>
          <w:rFonts w:hint="eastAsia" w:ascii="楷体_GB2312" w:hAnsi="仿宋_GB2312" w:eastAsia="楷体_GB2312" w:cs="仿宋_GB2312"/>
          <w:b/>
          <w:sz w:val="32"/>
          <w:szCs w:val="32"/>
        </w:rPr>
        <w:t>4.工伤保险。</w:t>
      </w:r>
      <w:r>
        <w:rPr>
          <w:rFonts w:hint="eastAsia" w:ascii="仿宋_GB2312" w:hAnsi="仿宋_GB2312" w:eastAsia="仿宋_GB2312" w:cs="仿宋_GB2312"/>
          <w:sz w:val="32"/>
          <w:szCs w:val="32"/>
        </w:rPr>
        <w:t>农民工参保率指标为95%，实际完成100%；新开工工程建设项目工伤保险参保率指标为93%，实际完成100%；年预算基金支出1709万元，实际支出1</w:t>
      </w:r>
      <w:r>
        <w:rPr>
          <w:rFonts w:hint="eastAsia" w:ascii="仿宋_GB2312" w:hAnsi="仿宋_GB2312" w:eastAsia="仿宋_GB2312" w:cs="仿宋_GB2312"/>
          <w:sz w:val="32"/>
          <w:szCs w:val="32"/>
          <w:lang w:val="en-US" w:eastAsia="zh-CN"/>
        </w:rPr>
        <w:t>717.69</w:t>
      </w:r>
      <w:r>
        <w:rPr>
          <w:rFonts w:hint="eastAsia" w:ascii="仿宋_GB2312" w:hAnsi="仿宋_GB2312" w:eastAsia="仿宋_GB2312" w:cs="仿宋_GB2312"/>
          <w:sz w:val="32"/>
          <w:szCs w:val="32"/>
        </w:rPr>
        <w:t>万元，完成目标任务的100%。</w:t>
      </w:r>
      <w:r>
        <w:rPr>
          <w:rFonts w:hint="eastAsia" w:ascii="楷体_GB2312" w:hAnsi="仿宋_GB2312" w:eastAsia="楷体_GB2312" w:cs="仿宋_GB2312"/>
          <w:b/>
          <w:sz w:val="32"/>
          <w:szCs w:val="32"/>
        </w:rPr>
        <w:t>5.失业保险。</w:t>
      </w:r>
      <w:r>
        <w:rPr>
          <w:rFonts w:hint="eastAsia" w:ascii="仿宋_GB2312" w:hAnsi="仿宋_GB2312" w:eastAsia="仿宋_GB2312" w:cs="仿宋_GB2312"/>
          <w:sz w:val="32"/>
          <w:szCs w:val="32"/>
        </w:rPr>
        <w:t>2022年参保人员缴费率指标为100%，实际完成100%；年预算基金支出532万元，实际支出</w:t>
      </w:r>
      <w:r>
        <w:rPr>
          <w:rFonts w:hint="eastAsia" w:ascii="仿宋_GB2312" w:hAnsi="仿宋_GB2312" w:eastAsia="仿宋_GB2312" w:cs="仿宋_GB2312"/>
          <w:sz w:val="32"/>
          <w:szCs w:val="32"/>
          <w:lang w:val="en-US" w:eastAsia="zh-CN"/>
        </w:rPr>
        <w:t>1655.16</w:t>
      </w:r>
      <w:r>
        <w:rPr>
          <w:rFonts w:hint="eastAsia" w:ascii="仿宋_GB2312" w:hAnsi="仿宋_GB2312" w:eastAsia="仿宋_GB2312" w:cs="仿宋_GB2312"/>
          <w:sz w:val="32"/>
          <w:szCs w:val="32"/>
        </w:rPr>
        <w:t>万元，完成目标任务的3</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%（稳经济一揽子政策各项惠企补助资金支出）。</w:t>
      </w:r>
      <w:r>
        <w:rPr>
          <w:rFonts w:hint="eastAsia" w:ascii="楷体_GB2312" w:hAnsi="仿宋_GB2312" w:eastAsia="楷体_GB2312" w:cs="仿宋_GB2312"/>
          <w:b/>
          <w:sz w:val="32"/>
          <w:szCs w:val="32"/>
        </w:rPr>
        <w:t>6.人社政务服务。</w:t>
      </w:r>
      <w:r>
        <w:rPr>
          <w:rFonts w:hint="eastAsia" w:ascii="仿宋_GB2312" w:hAnsi="仿宋_GB2312" w:eastAsia="仿宋_GB2312" w:cs="仿宋_GB2312"/>
          <w:sz w:val="32"/>
          <w:szCs w:val="32"/>
        </w:rPr>
        <w:t>好评率100%，实际好评率100%。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Segoe UI" w:hAnsi="Segoe UI" w:eastAsia="Segoe UI" w:cs="Segoe UI"/>
          <w:i w:val="0"/>
          <w:iCs w:val="0"/>
          <w:caps w:val="0"/>
          <w:spacing w:val="0"/>
          <w:sz w:val="21"/>
          <w:szCs w:val="21"/>
        </w:rPr>
      </w:pPr>
      <w:r>
        <w:rPr>
          <w:rFonts w:hint="eastAsia" w:ascii="楷体_GB2312" w:hAnsi="仿宋_GB2312" w:eastAsia="楷体_GB2312" w:cs="仿宋_GB2312"/>
          <w:b/>
          <w:sz w:val="32"/>
          <w:szCs w:val="32"/>
          <w:lang w:eastAsia="zh-CN"/>
        </w:rPr>
        <w:t>二是</w:t>
      </w:r>
      <w:r>
        <w:rPr>
          <w:rFonts w:hint="eastAsia" w:ascii="楷体_GB2312" w:hAnsi="仿宋_GB2312" w:eastAsia="楷体_GB2312" w:cs="仿宋_GB2312"/>
          <w:b/>
          <w:sz w:val="32"/>
          <w:szCs w:val="32"/>
        </w:rPr>
        <w:t>社会保险重点工作完成情况</w:t>
      </w:r>
      <w:r>
        <w:rPr>
          <w:rFonts w:hint="eastAsia" w:ascii="楷体_GB2312" w:hAnsi="仿宋_GB2312" w:eastAsia="楷体_GB2312" w:cs="仿宋_GB2312"/>
          <w:b/>
          <w:sz w:val="32"/>
          <w:szCs w:val="32"/>
          <w:lang w:eastAsia="zh-CN"/>
        </w:rPr>
        <w:t>：</w:t>
      </w:r>
      <w:r>
        <w:rPr>
          <w:rFonts w:hint="eastAsia" w:ascii="楷体_GB2312" w:eastAsia="楷体_GB2312"/>
          <w:b/>
          <w:kern w:val="0"/>
          <w:sz w:val="32"/>
          <w:szCs w:val="32"/>
          <w:lang w:val="en-US" w:eastAsia="zh-CN"/>
        </w:rPr>
        <w:t>1.</w:t>
      </w:r>
      <w:r>
        <w:rPr>
          <w:rFonts w:hint="eastAsia" w:ascii="楷体_GB2312" w:hAnsi="华文楷体" w:eastAsia="楷体_GB2312" w:cs="华文楷体"/>
          <w:b/>
          <w:sz w:val="32"/>
          <w:szCs w:val="32"/>
        </w:rPr>
        <w:t>企业职工养老保险全国统筹情况。</w:t>
      </w:r>
      <w:r>
        <w:rPr>
          <w:rFonts w:hint="eastAsia" w:ascii="仿宋_GB2312" w:hAnsi="华文楷体" w:eastAsia="仿宋_GB2312" w:cs="华文楷体"/>
          <w:sz w:val="32"/>
          <w:szCs w:val="32"/>
        </w:rPr>
        <w:t>根据企业职工养老保险基金全国统筹工作部署及省市人社部门安排，6月份全区企业职工养老保险停机切换，组织全体干部职工参加省社保局组织的企业职工基本养老保险全国统筹信息系统业务经办培训， 7月初全面上线运行了企业职工养老保险全国统筹信息系统，实现在线经办、在线核定、在线缴费，企业及灵活就业人员足不出户即可实现业务快办，社保“不见面”经办模式加速落实，企业职工养老保险基金全国统筹工作稳步推进。</w:t>
      </w:r>
      <w:r>
        <w:rPr>
          <w:rFonts w:hint="eastAsia" w:ascii="楷体_GB2312" w:eastAsia="楷体_GB2312"/>
          <w:b/>
          <w:kern w:val="0"/>
          <w:sz w:val="32"/>
          <w:szCs w:val="32"/>
          <w:lang w:val="en-US" w:eastAsia="zh-CN"/>
        </w:rPr>
        <w:t>2.</w:t>
      </w:r>
      <w:r>
        <w:rPr>
          <w:rFonts w:hint="eastAsia" w:ascii="楷体_GB2312" w:eastAsia="楷体_GB2312"/>
          <w:b/>
          <w:kern w:val="0"/>
          <w:sz w:val="32"/>
          <w:szCs w:val="32"/>
        </w:rPr>
        <w:t>社会保险基金管理提升年活动开展情况。一</w:t>
      </w:r>
      <w:r>
        <w:rPr>
          <w:rFonts w:hint="eastAsia" w:ascii="仿宋_GB2312" w:eastAsia="仿宋_GB2312"/>
          <w:b/>
          <w:kern w:val="0"/>
          <w:sz w:val="32"/>
          <w:szCs w:val="32"/>
        </w:rPr>
        <w:t>强化组织领导、确保活动走深走实。</w:t>
      </w:r>
      <w:r>
        <w:rPr>
          <w:rFonts w:hint="eastAsia" w:ascii="仿宋_GB2312" w:eastAsia="仿宋_GB2312"/>
          <w:kern w:val="0"/>
          <w:sz w:val="32"/>
          <w:szCs w:val="32"/>
        </w:rPr>
        <w:t>将社保基金管理提升年行动作为“一把手”亲自抓的重大政治任务，亲自安排、亲自调度，</w:t>
      </w:r>
      <w:r>
        <w:rPr>
          <w:rFonts w:hint="eastAsia" w:ascii="仿宋_GB2312" w:hAnsi="仿宋_GB2312" w:eastAsia="仿宋_GB2312" w:cs="仿宋_GB2312"/>
          <w:color w:val="000000"/>
          <w:kern w:val="0"/>
          <w:sz w:val="32"/>
          <w:szCs w:val="32"/>
        </w:rPr>
        <w:t>印发了《</w:t>
      </w:r>
      <w:r>
        <w:rPr>
          <w:rFonts w:hint="eastAsia" w:ascii="仿宋_GB2312" w:eastAsia="仿宋_GB2312"/>
          <w:kern w:val="0"/>
          <w:sz w:val="32"/>
          <w:szCs w:val="32"/>
        </w:rPr>
        <w:t>实施方案</w:t>
      </w:r>
      <w:r>
        <w:rPr>
          <w:rFonts w:hint="eastAsia" w:ascii="仿宋_GB2312" w:hAnsi="仿宋_GB2312" w:eastAsia="仿宋_GB2312" w:cs="仿宋_GB2312"/>
          <w:color w:val="000000"/>
          <w:kern w:val="0"/>
          <w:sz w:val="32"/>
          <w:szCs w:val="32"/>
        </w:rPr>
        <w:t>》，对各项工作进行全面安排部署，并成立</w:t>
      </w:r>
      <w:r>
        <w:rPr>
          <w:rFonts w:hint="eastAsia" w:ascii="仿宋_GB2312" w:eastAsia="仿宋_GB2312"/>
          <w:color w:val="000000"/>
          <w:kern w:val="0"/>
          <w:sz w:val="32"/>
          <w:szCs w:val="32"/>
        </w:rPr>
        <w:t>“提升年”行动工作专班，压实各级责任，形成工作合力。</w:t>
      </w:r>
      <w:r>
        <w:rPr>
          <w:rFonts w:hint="eastAsia" w:ascii="仿宋_GB2312" w:eastAsia="仿宋_GB2312"/>
          <w:kern w:val="0"/>
          <w:sz w:val="32"/>
          <w:szCs w:val="32"/>
        </w:rPr>
        <w:t>及时向区委、区政府和纪委监委汇报提升年行动情况，并根据领导批示精神，细化任务，夯实责任，切实把各项工作落到实处。</w:t>
      </w:r>
      <w:r>
        <w:rPr>
          <w:rFonts w:hint="eastAsia" w:ascii="仿宋_GB2312" w:hAnsi="楷体_GB2312" w:eastAsia="仿宋_GB2312" w:cs="楷体_GB2312"/>
          <w:bCs/>
          <w:sz w:val="32"/>
          <w:szCs w:val="32"/>
        </w:rPr>
        <w:t>安排部署</w:t>
      </w:r>
      <w:r>
        <w:rPr>
          <w:rFonts w:hint="eastAsia" w:ascii="仿宋_GB2312" w:hAnsi="楷体_GB2312" w:eastAsia="仿宋_GB2312" w:cs="楷体_GB2312"/>
          <w:bCs/>
          <w:kern w:val="0"/>
          <w:sz w:val="32"/>
          <w:szCs w:val="32"/>
        </w:rPr>
        <w:t>“警示教育月”活动</w:t>
      </w:r>
      <w:r>
        <w:rPr>
          <w:rFonts w:hint="eastAsia" w:ascii="仿宋_GB2312" w:hAnsi="楷体_GB2312" w:eastAsia="仿宋_GB2312" w:cs="楷体_GB2312"/>
          <w:bCs/>
          <w:sz w:val="32"/>
          <w:szCs w:val="32"/>
        </w:rPr>
        <w:t>，</w:t>
      </w:r>
      <w:r>
        <w:rPr>
          <w:rFonts w:hint="eastAsia" w:ascii="仿宋_GB2312" w:hAnsi="楷体_GB2312" w:eastAsia="仿宋_GB2312" w:cs="楷体_GB2312"/>
          <w:bCs/>
          <w:kern w:val="0"/>
          <w:sz w:val="32"/>
          <w:szCs w:val="32"/>
        </w:rPr>
        <w:t>印发《活动方案》，明确工作标准，提出具体要求，</w:t>
      </w:r>
      <w:r>
        <w:rPr>
          <w:rFonts w:hint="eastAsia" w:ascii="仿宋_GB2312" w:eastAsia="仿宋_GB2312"/>
          <w:kern w:val="0"/>
          <w:sz w:val="32"/>
          <w:szCs w:val="32"/>
        </w:rPr>
        <w:t>召开警示教育会，用身边事教育身边人，以案示警、以案明纪</w:t>
      </w:r>
      <w:r>
        <w:rPr>
          <w:rFonts w:hint="eastAsia" w:ascii="仿宋_GB2312" w:hAnsi="仿宋_GB2312" w:eastAsia="仿宋_GB2312" w:cs="仿宋_GB2312"/>
          <w:kern w:val="0"/>
          <w:sz w:val="32"/>
          <w:szCs w:val="32"/>
        </w:rPr>
        <w:t>，</w:t>
      </w:r>
      <w:r>
        <w:rPr>
          <w:rFonts w:hint="eastAsia" w:ascii="仿宋_GB2312" w:eastAsia="仿宋_GB2312"/>
          <w:kern w:val="0"/>
          <w:sz w:val="32"/>
          <w:szCs w:val="32"/>
        </w:rPr>
        <w:t>切实提升了经办风险防控管理能力，维护了社会保险基金安全运行。9月，根据市人社局实地督导安排，对我区社保基金管理提升年行动进行中期评估，就此项工作开展给予高度评价和认可。</w:t>
      </w:r>
      <w:r>
        <w:rPr>
          <w:rFonts w:hint="eastAsia" w:ascii="仿宋_GB2312" w:hAnsi="楷体_GB2312" w:eastAsia="仿宋_GB2312" w:cs="楷体_GB2312"/>
          <w:b/>
          <w:bCs/>
          <w:sz w:val="32"/>
          <w:szCs w:val="32"/>
        </w:rPr>
        <w:t>二是全面开展疑点数据核查</w:t>
      </w:r>
      <w:r>
        <w:rPr>
          <w:rFonts w:hint="eastAsia" w:ascii="仿宋_GB2312" w:hAnsi="宋体" w:eastAsia="仿宋_GB2312" w:cs="仿宋_GB2312"/>
          <w:b/>
          <w:bCs/>
          <w:color w:val="000000"/>
          <w:kern w:val="0"/>
          <w:sz w:val="31"/>
          <w:szCs w:val="31"/>
        </w:rPr>
        <w:t>。</w:t>
      </w:r>
      <w:r>
        <w:rPr>
          <w:rFonts w:hint="eastAsia" w:ascii="仿宋_GB2312" w:hAnsi="宋体" w:eastAsia="仿宋_GB2312" w:cs="仿宋_GB2312"/>
          <w:color w:val="000000"/>
          <w:kern w:val="0"/>
          <w:sz w:val="31"/>
          <w:szCs w:val="31"/>
        </w:rPr>
        <w:t>2021年共反馈疑点数据6717条，发现问题33个，已整改32个，正在整改1个；</w:t>
      </w:r>
      <w:r>
        <w:rPr>
          <w:rFonts w:hint="eastAsia" w:ascii="仿宋_GB2312" w:hAnsi="仿宋_GB2312" w:eastAsia="仿宋_GB2312" w:cs="仿宋_GB2312"/>
          <w:color w:val="000000"/>
          <w:kern w:val="0"/>
          <w:sz w:val="32"/>
          <w:szCs w:val="32"/>
        </w:rPr>
        <w:t>对2022年人社部下发的比对数据168条，疑点数据3条；省人社厅下发疑点数据22条；重复领取待遇疑点数据13条，认真开展比对核查，现均已核查整改完成，发现违规基金2.7万余元，已全部追回。</w:t>
      </w:r>
      <w:r>
        <w:rPr>
          <w:rFonts w:hint="eastAsia" w:ascii="仿宋_GB2312" w:hAnsi="楷体_GB2312" w:eastAsia="仿宋_GB2312" w:cs="楷体_GB2312"/>
          <w:b/>
          <w:bCs/>
          <w:sz w:val="32"/>
          <w:szCs w:val="32"/>
        </w:rPr>
        <w:t>三是深入推进反馈问题整改查处。</w:t>
      </w:r>
      <w:r>
        <w:rPr>
          <w:rFonts w:hint="eastAsia" w:ascii="仿宋_GB2312" w:hAnsi="宋体" w:eastAsia="仿宋_GB2312" w:cs="仿宋_GB2312"/>
          <w:color w:val="000000"/>
          <w:kern w:val="0"/>
          <w:sz w:val="31"/>
          <w:szCs w:val="31"/>
        </w:rPr>
        <w:t>社保基金管理问题专项整治风险排查发现问题41个，至目前已整改36个，正在整改5个，未完成整改的主要原因为</w:t>
      </w:r>
      <w:r>
        <w:rPr>
          <w:rFonts w:hint="eastAsia" w:ascii="仿宋_GB2312" w:eastAsia="仿宋_GB2312" w:cs="仿宋_GB2312"/>
          <w:color w:val="000000"/>
          <w:kern w:val="0"/>
          <w:sz w:val="32"/>
          <w:szCs w:val="32"/>
        </w:rPr>
        <w:t>系统功能不完善，导致问题整改不到位。</w:t>
      </w:r>
      <w:r>
        <w:rPr>
          <w:rFonts w:hint="eastAsia" w:ascii="仿宋_GB2312" w:hAnsi="宋体" w:eastAsia="仿宋_GB2312" w:cs="仿宋_GB2312"/>
          <w:color w:val="000000"/>
          <w:kern w:val="0"/>
          <w:sz w:val="31"/>
          <w:szCs w:val="31"/>
        </w:rPr>
        <w:t>部级、省级调研检查发现问题12个，其中人社部反馈问题9个，提出意见方面的问题3个，现均已全部整改落实到位。2022年基金案件追责问责和基金追偿，追缴6人8.7万元。</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一揽子稳经济政策落实情况。</w:t>
      </w:r>
      <w:r>
        <w:rPr>
          <w:rFonts w:hint="eastAsia" w:ascii="仿宋_GB2312" w:eastAsia="仿宋_GB2312"/>
          <w:sz w:val="32"/>
          <w:szCs w:val="32"/>
        </w:rPr>
        <w:t>2022年，</w:t>
      </w:r>
      <w:r>
        <w:rPr>
          <w:rFonts w:hint="eastAsia" w:ascii="仿宋_GB2312" w:hAnsi="楷体_GB2312" w:eastAsia="仿宋_GB2312" w:cs="楷体_GB2312"/>
          <w:bCs/>
          <w:kern w:val="0"/>
          <w:sz w:val="32"/>
          <w:szCs w:val="32"/>
        </w:rPr>
        <w:t>共为符合条件的企业发放稳岗返还补贴资金559.9万元，惠及1357户14513人。同时，在对缓缴社会保险费企业类型进行划分筛选的基础上，积极筛选符合留工补贴返还企业名录，为符合条件的企业发放一次性留工补助582.35.3万元，惠及965户企业11106人。为157户企业267人发放扩岗补助39.9万元；为9户企业的14名失业人员发放农民工一次性生活补贴5.32万元；为9户企业的14名失业人员发放农民工临时生活补助金1.78万元；为917名失业人员发放失业补助金126.03万元；为1057人发放价格临时补贴2.47万元；为7人发放职业技能提升补贴1.1万元。</w:t>
      </w:r>
      <w:r>
        <w:rPr>
          <w:rFonts w:hint="eastAsia" w:ascii="楷体_GB2312" w:hAnsi="华文楷体" w:eastAsia="楷体_GB2312" w:cs="华文楷体"/>
          <w:b/>
          <w:sz w:val="32"/>
          <w:szCs w:val="32"/>
          <w:lang w:val="en-US" w:eastAsia="zh-CN"/>
        </w:rPr>
        <w:t>4.</w:t>
      </w:r>
      <w:r>
        <w:rPr>
          <w:rFonts w:hint="eastAsia" w:ascii="楷体_GB2312" w:eastAsia="楷体_GB2312"/>
          <w:b/>
          <w:kern w:val="0"/>
          <w:sz w:val="32"/>
          <w:szCs w:val="32"/>
        </w:rPr>
        <w:t>城乡居民困难群体社保费代缴工作。</w:t>
      </w:r>
      <w:r>
        <w:rPr>
          <w:rFonts w:hint="eastAsia" w:ascii="仿宋_GB2312" w:hAnsi="仿宋_GB2312" w:eastAsia="仿宋_GB2312" w:cs="仿宋_GB2312"/>
          <w:sz w:val="32"/>
          <w:szCs w:val="32"/>
        </w:rPr>
        <w:t>2022年为符合条件的低保对象、特困人员、重度残疾人、计划生育“两证户”共计</w:t>
      </w:r>
      <w:r>
        <w:rPr>
          <w:rFonts w:hint="eastAsia" w:ascii="仿宋_GB2312" w:hAnsi="仿宋_GB2312" w:eastAsia="仿宋_GB2312" w:cs="仿宋_GB2312"/>
          <w:sz w:val="32"/>
          <w:szCs w:val="32"/>
          <w:lang w:val="en-US" w:eastAsia="zh-CN"/>
        </w:rPr>
        <w:t>56149</w:t>
      </w:r>
      <w:r>
        <w:rPr>
          <w:rFonts w:hint="eastAsia" w:ascii="仿宋_GB2312" w:hAnsi="仿宋_GB2312" w:eastAsia="仿宋_GB2312" w:cs="仿宋_GB2312"/>
          <w:sz w:val="32"/>
          <w:szCs w:val="32"/>
        </w:rPr>
        <w:t>人，代缴养老保险费</w:t>
      </w:r>
      <w:r>
        <w:rPr>
          <w:rFonts w:hint="eastAsia" w:ascii="仿宋_GB2312" w:hAnsi="仿宋_GB2312" w:eastAsia="仿宋_GB2312" w:cs="仿宋_GB2312"/>
          <w:sz w:val="32"/>
          <w:szCs w:val="32"/>
          <w:lang w:val="en-US" w:eastAsia="zh-CN"/>
        </w:rPr>
        <w:t>224.8</w:t>
      </w:r>
      <w:r>
        <w:rPr>
          <w:rFonts w:hint="eastAsia" w:ascii="仿宋_GB2312" w:hAnsi="仿宋_GB2312" w:eastAsia="仿宋_GB2312" w:cs="仿宋_GB2312"/>
          <w:sz w:val="32"/>
          <w:szCs w:val="32"/>
        </w:rPr>
        <w:t>万元。其中，低保对象6</w:t>
      </w:r>
      <w:r>
        <w:rPr>
          <w:rFonts w:hint="eastAsia" w:ascii="仿宋_GB2312" w:hAnsi="仿宋_GB2312" w:eastAsia="仿宋_GB2312" w:cs="仿宋_GB2312"/>
          <w:sz w:val="32"/>
          <w:szCs w:val="32"/>
          <w:lang w:val="en-US" w:eastAsia="zh-CN"/>
        </w:rPr>
        <w:t>920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69.2</w:t>
      </w:r>
      <w:r>
        <w:rPr>
          <w:rFonts w:hint="eastAsia" w:ascii="仿宋_GB2312" w:hAnsi="仿宋_GB2312" w:eastAsia="仿宋_GB2312" w:cs="仿宋_GB2312"/>
          <w:sz w:val="32"/>
          <w:szCs w:val="32"/>
        </w:rPr>
        <w:t>万元；特困人员2</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人2.6</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万元；重度残疾人86</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 8.6</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万元；计生“两证户”54426人163.28万元。</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新业态行业参保扩面工作情况。</w:t>
      </w:r>
      <w:r>
        <w:rPr>
          <w:rFonts w:hint="eastAsia" w:ascii="仿宋_GB2312" w:hAnsi="华文楷体" w:eastAsia="仿宋_GB2312" w:cs="华文楷体"/>
          <w:sz w:val="32"/>
          <w:szCs w:val="32"/>
        </w:rPr>
        <w:t>根据省市业务主管部门下发的基层快递网点和从业人员数据信息，主动对接邮政管理部门比对应参未参数据，通过开展拉网式排查，划定参保企业和分支机构，建立参保扩面专项任务台账，逐条跟进落实，共为</w:t>
      </w:r>
      <w:r>
        <w:rPr>
          <w:rFonts w:hint="eastAsia" w:ascii="仿宋_GB2312" w:hAnsi="华文楷体" w:eastAsia="仿宋_GB2312" w:cs="华文楷体"/>
          <w:sz w:val="32"/>
          <w:szCs w:val="32"/>
          <w:lang w:val="en-US" w:eastAsia="zh-CN"/>
        </w:rPr>
        <w:t>389</w:t>
      </w:r>
      <w:r>
        <w:rPr>
          <w:rFonts w:hint="eastAsia" w:ascii="仿宋_GB2312" w:hAnsi="华文楷体" w:eastAsia="仿宋_GB2312" w:cs="华文楷体"/>
          <w:sz w:val="32"/>
          <w:szCs w:val="32"/>
        </w:rPr>
        <w:t>名快递小哥成功办理工伤保险参保登记。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黑体" w:hAnsi="黑体" w:eastAsia="黑体" w:cs="黑体"/>
          <w:i w:val="0"/>
          <w:iCs w:val="0"/>
          <w:caps w:val="0"/>
          <w:spacing w:val="0"/>
          <w:sz w:val="21"/>
          <w:szCs w:val="21"/>
        </w:rPr>
      </w:pPr>
      <w:r>
        <w:rPr>
          <w:rFonts w:hint="eastAsia" w:ascii="黑体" w:hAnsi="黑体" w:eastAsia="黑体" w:cs="黑体"/>
          <w:i w:val="0"/>
          <w:iCs w:val="0"/>
          <w:caps w:val="0"/>
          <w:spacing w:val="0"/>
          <w:sz w:val="32"/>
          <w:szCs w:val="32"/>
          <w:shd w:val="clear" w:fill="FFFFFF"/>
        </w:rPr>
        <w:t>四、评价结论及建议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楷体" w:hAnsi="楷体" w:eastAsia="楷体" w:cs="楷体"/>
          <w:b/>
          <w:bCs/>
          <w:i w:val="0"/>
          <w:iCs w:val="0"/>
          <w:caps w:val="0"/>
          <w:spacing w:val="0"/>
          <w:sz w:val="21"/>
          <w:szCs w:val="21"/>
        </w:rPr>
      </w:pPr>
      <w:r>
        <w:rPr>
          <w:rFonts w:hint="eastAsia" w:ascii="楷体" w:hAnsi="楷体" w:eastAsia="楷体" w:cs="楷体"/>
          <w:b/>
          <w:bCs/>
          <w:i w:val="0"/>
          <w:iCs w:val="0"/>
          <w:caps w:val="0"/>
          <w:spacing w:val="0"/>
          <w:sz w:val="32"/>
          <w:szCs w:val="32"/>
          <w:shd w:val="clear" w:fill="FFFFFF"/>
        </w:rPr>
        <w:t>（一）评价结论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Cs/>
          <w:kern w:val="0"/>
          <w:sz w:val="32"/>
          <w:szCs w:val="32"/>
        </w:rPr>
      </w:pPr>
      <w:r>
        <w:rPr>
          <w:rFonts w:hint="eastAsia" w:ascii="仿宋_GB2312" w:hAnsi="Segoe UI" w:eastAsia="仿宋_GB2312" w:cs="仿宋_GB2312"/>
          <w:i w:val="0"/>
          <w:iCs w:val="0"/>
          <w:caps w:val="0"/>
          <w:spacing w:val="0"/>
          <w:sz w:val="32"/>
          <w:szCs w:val="32"/>
          <w:shd w:val="clear" w:fill="FFFFFF"/>
        </w:rPr>
        <w:t>通过绩效评价，我们认为20</w:t>
      </w:r>
      <w:r>
        <w:rPr>
          <w:rFonts w:hint="eastAsia" w:ascii="仿宋_GB2312" w:hAnsi="Segoe UI" w:eastAsia="仿宋_GB2312" w:cs="仿宋_GB2312"/>
          <w:i w:val="0"/>
          <w:iCs w:val="0"/>
          <w:caps w:val="0"/>
          <w:spacing w:val="0"/>
          <w:sz w:val="32"/>
          <w:szCs w:val="32"/>
          <w:shd w:val="clear" w:fill="FFFFFF"/>
          <w:lang w:val="en-US" w:eastAsia="zh-CN"/>
        </w:rPr>
        <w:t>22</w:t>
      </w:r>
      <w:r>
        <w:rPr>
          <w:rFonts w:hint="eastAsia" w:ascii="仿宋_GB2312" w:hAnsi="Segoe UI" w:eastAsia="仿宋_GB2312" w:cs="仿宋_GB2312"/>
          <w:i w:val="0"/>
          <w:iCs w:val="0"/>
          <w:caps w:val="0"/>
          <w:spacing w:val="0"/>
          <w:sz w:val="32"/>
          <w:szCs w:val="32"/>
          <w:shd w:val="clear" w:fill="FFFFFF"/>
        </w:rPr>
        <w:t>年度</w:t>
      </w:r>
      <w:r>
        <w:rPr>
          <w:rFonts w:hint="eastAsia" w:ascii="仿宋_GB2312" w:hAnsi="宋体" w:eastAsia="仿宋_GB2312"/>
          <w:sz w:val="32"/>
          <w:szCs w:val="32"/>
        </w:rPr>
        <w:t>社会保险工作以习近平新时代中国特色社会主义思想为指导，按照省市社会保险工作会议总体部署，</w:t>
      </w:r>
      <w:r>
        <w:rPr>
          <w:rFonts w:hint="eastAsia" w:ascii="仿宋_GB2312" w:hAnsi="方正小标宋_GBK" w:eastAsia="仿宋_GB2312"/>
          <w:color w:val="000000"/>
          <w:sz w:val="32"/>
          <w:szCs w:val="32"/>
        </w:rPr>
        <w:t>牢固树立以人民为中心的发展理念，主动适应经济社会发展新常态，</w:t>
      </w:r>
      <w:r>
        <w:rPr>
          <w:rFonts w:hint="eastAsia" w:ascii="仿宋_GB2312" w:hAnsi="仿宋" w:eastAsia="仿宋_GB2312" w:cs="Courier New"/>
          <w:sz w:val="32"/>
          <w:szCs w:val="32"/>
        </w:rPr>
        <w:t>以提升基金管理水平、强化扩面征缴、保障待遇水平、强化风险防控、优化经办质量为工作主线，</w:t>
      </w:r>
      <w:r>
        <w:rPr>
          <w:rFonts w:hint="eastAsia" w:ascii="仿宋_GB2312" w:hAnsi="方正小标宋_GBK" w:eastAsia="仿宋_GB2312"/>
          <w:color w:val="000000"/>
          <w:sz w:val="32"/>
          <w:szCs w:val="32"/>
        </w:rPr>
        <w:t>突出深化社会保险制度改革和提升社会保险公共服务能力两个重点，坚持应保尽保，尽力而为，量力而行，</w:t>
      </w:r>
      <w:r>
        <w:rPr>
          <w:rFonts w:hint="eastAsia" w:ascii="仿宋_GB2312" w:hAnsi="宋体" w:eastAsia="仿宋_GB2312"/>
          <w:sz w:val="32"/>
          <w:szCs w:val="32"/>
        </w:rPr>
        <w:t>2022年</w:t>
      </w:r>
      <w:r>
        <w:rPr>
          <w:rFonts w:hint="eastAsia" w:ascii="仿宋_GB2312" w:hAnsi="宋体" w:eastAsia="仿宋_GB2312" w:cs="宋体"/>
          <w:bCs/>
          <w:kern w:val="0"/>
          <w:sz w:val="32"/>
          <w:szCs w:val="32"/>
        </w:rPr>
        <w:t>全区社会保险各项工作进展顺利。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Segoe UI" w:hAnsi="Segoe UI" w:eastAsia="Segoe UI" w:cs="Segoe UI"/>
          <w:i w:val="0"/>
          <w:iCs w:val="0"/>
          <w:caps w:val="0"/>
          <w:spacing w:val="0"/>
          <w:sz w:val="21"/>
          <w:szCs w:val="21"/>
        </w:rPr>
      </w:pPr>
      <w:r>
        <w:rPr>
          <w:rFonts w:hint="eastAsia" w:ascii="仿宋_GB2312" w:hAnsi="Segoe UI" w:eastAsia="仿宋_GB2312" w:cs="仿宋_GB2312"/>
          <w:i w:val="0"/>
          <w:iCs w:val="0"/>
          <w:caps w:val="0"/>
          <w:spacing w:val="0"/>
          <w:sz w:val="32"/>
          <w:szCs w:val="32"/>
          <w:shd w:val="clear" w:fill="FFFFFF"/>
        </w:rPr>
        <w:t>部门预算具有明确的用途和目标，制定了详细的执行计划，资金到位及时并严格按照财政有关规定使用。预算决策、管理、执行等日益规范，能较好地满足工作需要，取得了良好经济效益和社会效益。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楷体" w:hAnsi="楷体" w:eastAsia="楷体" w:cs="楷体"/>
          <w:b/>
          <w:bCs/>
          <w:i w:val="0"/>
          <w:iCs w:val="0"/>
          <w:caps w:val="0"/>
          <w:spacing w:val="0"/>
          <w:sz w:val="21"/>
          <w:szCs w:val="21"/>
        </w:rPr>
      </w:pPr>
      <w:r>
        <w:rPr>
          <w:rFonts w:hint="eastAsia" w:ascii="楷体" w:hAnsi="楷体" w:eastAsia="楷体" w:cs="楷体"/>
          <w:b/>
          <w:bCs/>
          <w:i w:val="0"/>
          <w:iCs w:val="0"/>
          <w:caps w:val="0"/>
          <w:spacing w:val="0"/>
          <w:sz w:val="32"/>
          <w:szCs w:val="32"/>
          <w:shd w:val="clear" w:fill="FFFFFF"/>
        </w:rPr>
        <w:t>（二）存在的问题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default" w:ascii="Segoe UI" w:hAnsi="Segoe UI" w:eastAsia="Segoe UI" w:cs="Segoe UI"/>
          <w:i w:val="0"/>
          <w:iCs w:val="0"/>
          <w:caps w:val="0"/>
          <w:spacing w:val="0"/>
          <w:sz w:val="21"/>
          <w:szCs w:val="21"/>
        </w:rPr>
      </w:pPr>
      <w:r>
        <w:rPr>
          <w:rFonts w:hint="eastAsia" w:ascii="仿宋_GB2312" w:hAnsi="Segoe UI" w:eastAsia="仿宋_GB2312" w:cs="仿宋_GB2312"/>
          <w:i w:val="0"/>
          <w:iCs w:val="0"/>
          <w:caps w:val="0"/>
          <w:spacing w:val="0"/>
          <w:sz w:val="32"/>
          <w:szCs w:val="32"/>
          <w:shd w:val="clear" w:fill="FFFFFF"/>
        </w:rPr>
        <w:t>一是绩效目标设置不科学；二是由于工作安排的原因，存在部门预算执行进度不均衡，项目资金使用“前松后紧”现象；三是受评价指标所限，部分项目效果无法量化，评价结果参差不齐；四是由于不可预计的人员支出调整，预算调整率较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楷体" w:hAnsi="楷体" w:eastAsia="楷体" w:cs="楷体"/>
          <w:b/>
          <w:bCs/>
          <w:i w:val="0"/>
          <w:iCs w:val="0"/>
          <w:caps w:val="0"/>
          <w:spacing w:val="0"/>
          <w:sz w:val="21"/>
          <w:szCs w:val="21"/>
        </w:rPr>
      </w:pPr>
      <w:r>
        <w:rPr>
          <w:rFonts w:hint="eastAsia" w:ascii="楷体" w:hAnsi="楷体" w:eastAsia="楷体" w:cs="楷体"/>
          <w:b/>
          <w:bCs/>
          <w:i w:val="0"/>
          <w:iCs w:val="0"/>
          <w:caps w:val="0"/>
          <w:spacing w:val="0"/>
          <w:sz w:val="32"/>
          <w:szCs w:val="32"/>
          <w:shd w:val="clear" w:fill="FFFFFF"/>
        </w:rPr>
        <w:t>（三）改进措施和建议</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default" w:ascii="Segoe UI" w:hAnsi="Segoe UI" w:eastAsia="Segoe UI" w:cs="Segoe UI"/>
          <w:i w:val="0"/>
          <w:iCs w:val="0"/>
          <w:caps w:val="0"/>
          <w:spacing w:val="0"/>
          <w:sz w:val="21"/>
          <w:szCs w:val="21"/>
        </w:rPr>
      </w:pPr>
      <w:r>
        <w:rPr>
          <w:rFonts w:hint="eastAsia" w:ascii="仿宋_GB2312" w:hAnsi="Segoe UI" w:eastAsia="仿宋_GB2312" w:cs="仿宋_GB2312"/>
          <w:i w:val="0"/>
          <w:iCs w:val="0"/>
          <w:caps w:val="0"/>
          <w:spacing w:val="0"/>
          <w:sz w:val="32"/>
          <w:szCs w:val="32"/>
          <w:shd w:val="clear" w:fill="FFFFFF"/>
        </w:rPr>
        <w:t>1、细化预算编制工作，认真做好预算的编制。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textAlignment w:val="auto"/>
        <w:rPr>
          <w:rFonts w:hint="default" w:ascii="Segoe UI" w:hAnsi="Segoe UI" w:eastAsia="Segoe UI" w:cs="Segoe UI"/>
          <w:i w:val="0"/>
          <w:iCs w:val="0"/>
          <w:caps w:val="0"/>
          <w:spacing w:val="0"/>
          <w:sz w:val="21"/>
          <w:szCs w:val="21"/>
        </w:rPr>
      </w:pPr>
      <w:r>
        <w:rPr>
          <w:rFonts w:hint="eastAsia" w:ascii="仿宋_GB2312" w:hAnsi="Segoe UI" w:eastAsia="仿宋_GB2312" w:cs="仿宋_GB2312"/>
          <w:i w:val="0"/>
          <w:iCs w:val="0"/>
          <w:caps w:val="0"/>
          <w:spacing w:val="0"/>
          <w:sz w:val="32"/>
          <w:szCs w:val="32"/>
          <w:shd w:val="clear" w:fill="FFFFFF"/>
        </w:rPr>
        <w:t>2、加强财务管理，严格财务审核。在费用报账支付时，按照预算规定的费用项目和用途进行资金使用审核、列报支付、财务核算，杜绝超支现象的发生。</w:t>
      </w:r>
    </w:p>
    <w:p>
      <w:pPr>
        <w:keepNext w:val="0"/>
        <w:keepLines w:val="0"/>
        <w:pageBreakBefore w:val="0"/>
        <w:widowControl/>
        <w:kinsoku/>
        <w:wordWrap/>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topLinePunct w:val="0"/>
        <w:autoSpaceDE/>
        <w:autoSpaceDN/>
        <w:bidi w:val="0"/>
        <w:spacing w:beforeAutospacing="0" w:afterAutospacing="0" w:line="560" w:lineRule="exact"/>
        <w:ind w:firstLine="3200" w:firstLineChars="10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甘州区社会保险事业服务中心</w:t>
      </w:r>
    </w:p>
    <w:p>
      <w:pPr>
        <w:keepNext w:val="0"/>
        <w:keepLines w:val="0"/>
        <w:pageBreakBefore w:val="0"/>
        <w:widowControl/>
        <w:kinsoku/>
        <w:wordWrap/>
        <w:topLinePunct w:val="0"/>
        <w:autoSpaceDE/>
        <w:autoSpaceDN/>
        <w:bidi w:val="0"/>
        <w:spacing w:beforeAutospacing="0" w:afterAutospacing="0" w:line="560" w:lineRule="exact"/>
        <w:ind w:firstLine="4160" w:firstLineChars="1300"/>
        <w:textAlignment w:val="auto"/>
        <w:rPr>
          <w:rFonts w:hint="eastAsia" w:ascii="仿宋_GB2312" w:eastAsia="仿宋_GB2312"/>
          <w:kern w:val="0"/>
          <w:sz w:val="32"/>
          <w:szCs w:val="32"/>
        </w:rPr>
      </w:pP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年2月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w:t>
      </w:r>
    </w:p>
    <w:p>
      <w:pPr>
        <w:snapToGrid w:val="0"/>
        <w:spacing w:line="560" w:lineRule="exact"/>
        <w:rPr>
          <w:rFonts w:hint="eastAsia" w:ascii="仿宋_GB2312" w:eastAsia="仿宋_GB2312"/>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BA1BD4E0-F075-4C91-8A63-870AEA3F7C36}"/>
  </w:font>
  <w:font w:name="Courier New">
    <w:panose1 w:val="02070309020205020404"/>
    <w:charset w:val="01"/>
    <w:family w:val="modern"/>
    <w:pitch w:val="default"/>
    <w:sig w:usb0="00007A87" w:usb1="80000000" w:usb2="00000008" w:usb3="00000000" w:csb0="400001FF" w:csb1="FFFF0000"/>
    <w:embedRegular r:id="rId2" w:fontKey="{3D2270BA-0EAA-4697-8232-C153A799E08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A65D031-3D62-4E5F-A6B5-9BFB5A9B3975}"/>
  </w:font>
  <w:font w:name="方正小标宋简体">
    <w:panose1 w:val="03000509000000000000"/>
    <w:charset w:val="86"/>
    <w:family w:val="auto"/>
    <w:pitch w:val="default"/>
    <w:sig w:usb0="00000001" w:usb1="080E0000" w:usb2="00000000" w:usb3="00000000" w:csb0="00040000" w:csb1="00000000"/>
    <w:embedRegular r:id="rId4" w:fontKey="{338F82ED-9273-4602-9F32-C91DA447FCB9}"/>
  </w:font>
  <w:font w:name="Segoe UI">
    <w:panose1 w:val="020B0502040204020203"/>
    <w:charset w:val="00"/>
    <w:family w:val="auto"/>
    <w:pitch w:val="default"/>
    <w:sig w:usb0="E10022FF" w:usb1="C000E47F" w:usb2="00000029" w:usb3="00000000" w:csb0="200001DF" w:csb1="20000000"/>
    <w:embedRegular r:id="rId5" w:fontKey="{86707B27-38FA-4555-A08F-30D905E121F4}"/>
  </w:font>
  <w:font w:name="仿宋_GB2312">
    <w:panose1 w:val="02010609030101010101"/>
    <w:charset w:val="86"/>
    <w:family w:val="auto"/>
    <w:pitch w:val="default"/>
    <w:sig w:usb0="00000001" w:usb1="080E0000" w:usb2="00000000" w:usb3="00000000" w:csb0="00040000" w:csb1="00000000"/>
    <w:embedRegular r:id="rId6" w:fontKey="{DA84E5BD-DC42-4323-A1C9-FE217E75A7E8}"/>
  </w:font>
  <w:font w:name="楷体">
    <w:panose1 w:val="02010609060101010101"/>
    <w:charset w:val="86"/>
    <w:family w:val="auto"/>
    <w:pitch w:val="default"/>
    <w:sig w:usb0="800002BF" w:usb1="38CF7CFA" w:usb2="00000016" w:usb3="00000000" w:csb0="00040001" w:csb1="00000000"/>
    <w:embedRegular r:id="rId7" w:fontKey="{144D2CDB-5F27-45FA-8C5C-B72C302AC9D7}"/>
  </w:font>
  <w:font w:name="华文仿宋">
    <w:panose1 w:val="02010600040101010101"/>
    <w:charset w:val="86"/>
    <w:family w:val="auto"/>
    <w:pitch w:val="default"/>
    <w:sig w:usb0="00000287" w:usb1="080F0000" w:usb2="00000000" w:usb3="00000000" w:csb0="0004009F" w:csb1="DFD70000"/>
    <w:embedRegular r:id="rId8" w:fontKey="{EAE33C99-5A5A-4718-98BD-1B030233A8B6}"/>
  </w:font>
  <w:font w:name="楷体_GB2312">
    <w:panose1 w:val="02010609030101010101"/>
    <w:charset w:val="86"/>
    <w:family w:val="modern"/>
    <w:pitch w:val="default"/>
    <w:sig w:usb0="00000001" w:usb1="080E0000" w:usb2="00000000" w:usb3="00000000" w:csb0="00040000" w:csb1="00000000"/>
    <w:embedRegular r:id="rId9" w:fontKey="{877D5D4D-A97F-4436-9353-AFAD600FA38F}"/>
  </w:font>
  <w:font w:name="华文楷体">
    <w:panose1 w:val="02010600040101010101"/>
    <w:charset w:val="86"/>
    <w:family w:val="auto"/>
    <w:pitch w:val="default"/>
    <w:sig w:usb0="00000287" w:usb1="080F0000" w:usb2="00000000" w:usb3="00000000" w:csb0="0004009F" w:csb1="DFD70000"/>
    <w:embedRegular r:id="rId10" w:fontKey="{D90A13B2-F6E3-4D1E-8E30-AA329BD55063}"/>
  </w:font>
  <w:font w:name="方正小标宋_GBK">
    <w:altName w:val="Arial Unicode MS"/>
    <w:panose1 w:val="00000000000000000000"/>
    <w:charset w:val="86"/>
    <w:family w:val="auto"/>
    <w:pitch w:val="default"/>
    <w:sig w:usb0="00000000" w:usb1="00000000" w:usb2="00000010" w:usb3="00000000" w:csb0="00040000" w:csb1="00000000"/>
    <w:embedRegular r:id="rId11" w:fontKey="{9224C314-2507-4306-B97D-888EE9CFE576}"/>
  </w:font>
  <w:font w:name="仿宋">
    <w:panose1 w:val="02010609060101010101"/>
    <w:charset w:val="86"/>
    <w:family w:val="modern"/>
    <w:pitch w:val="default"/>
    <w:sig w:usb0="800002BF" w:usb1="38CF7CFA" w:usb2="00000016" w:usb3="00000000" w:csb0="00040001" w:csb1="00000000"/>
    <w:embedRegular r:id="rId12" w:fontKey="{734758E2-07D4-4120-852B-582FE279BEDD}"/>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TU0MGViMWQ4NmExNjE2Y2FkMjViNzA0ZDRjNjUifQ=="/>
  </w:docVars>
  <w:rsids>
    <w:rsidRoot w:val="101D6B69"/>
    <w:rsid w:val="101D6B69"/>
    <w:rsid w:val="16E30C95"/>
    <w:rsid w:val="409A228E"/>
    <w:rsid w:val="5354133B"/>
    <w:rsid w:val="670F21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2023-11-27T01:38:00Z</dcterms:created>
  <dc:creator>鳄.小胖</dc:creator>
  <cp:lastModifiedBy>鳄.小胖</cp:lastModifiedBy>
  <dcterms:modified xsi:type="dcterms:W3CDTF">2023-11-29T00:41:24Z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F59F2BE2D5394739AA56024803250E33_11</vt:lpwstr>
  </property>
</Properties>
</file>