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bookmarkStart w:id="0" w:name="_GoBack"/>
      <w:bookmarkEnd w:id="0"/>
      <w:r>
        <w:rPr>
          <w:rFonts w:ascii="宋体" w:hAnsi="宋体" w:eastAsia="宋体" w:cs="宋体"/>
          <w:b/>
          <w:bCs/>
          <w:kern w:val="0"/>
          <w:sz w:val="22"/>
          <w:szCs w:val="22"/>
          <w:bdr w:val="none" w:color="auto" w:sz="0" w:space="0"/>
          <w:lang w:val="en-US" w:eastAsia="zh-CN" w:bidi="ar"/>
        </w:rPr>
        <w:t>基本信息</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2817"/>
        <w:gridCol w:w="1878"/>
        <w:gridCol w:w="281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项目类型</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本级支出项目</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2025年离岗村医工龄补助市、区级配套</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2025年离岗村医工龄补助市、区级配套</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分配方式</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起始年份</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项目期限</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年</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业务管理处室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资金主管部门</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050 甘州区卫生健康局</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重要程度</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 重要</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热点分类</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004003 其他刚性支出</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联系人</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联系电话</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标准模板</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是否追踪</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是否资产配置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是否科研项目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是否设置使用范围</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是否二次分配</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是否基建项目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是否涉密</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项目总金额（元）</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1353800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其中：非财政性资金（元）</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项目概述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甘政办发[2015]91号甘卫发[2015]313号甘政办发[2015]170号：每满一年月发放8元，工龄平均20年，，省、市、区按4：3：3比例承担。省级补助部分通过均衡性转移支付下达。张财社(2016)98号《关于下达2016年市级配套社会保障资金的通知》，市级下达33.6万元；2、《甘肃省人民政府办公厅关于印发进一步加强乡村医生队伍建设实施方案的通知》（甘政办发[2015]91号）、《甘肃省卫生和计生委、甘肃省财政厅、甘肃省人力资源和社会保障厅关于解决乡村医生养老问题的通知》（甘卫发[2015]313号）、《张掖市人民政府办公室关于印发张掖市进一步加强乡村医生队伍建设实施方案的通知》（张政办发[2015]170号）：2015年年底前满60周岁办理退出手续或已经退出乡村医生岗位的，且连续服务满5年以上（含5年）的乡村医生。已退出村医岗位的2015年年底前未满60周岁的，从到龄次月起发放离岗村医工龄补助。离岗乡村医生工龄补助按每满一年月发放8元的标准执行，不满一年的按一年计算。工龄按连续在村卫生室工作至退出村医岗位时止计算。</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政策依据</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张财社[2016]98号《关于下达2016年市级配套社会保障资金的通知》</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基本情况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根据张财社[2016]98号《关于下达2016年市级配套社会保障资金的通知》，发放离岗村医工龄补助。离岗乡村医生，在岗每满一年每月发放8元补助，工龄平均20年，省、市、区按照4:3:3比例承担。此项目经费主要用于离岗乡村医生工龄补助。</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项目立项必要性</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保障离岗乡村医生基本生活，稳定乡村医生队伍建设，提升离岗村医的幸福生活指数。</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保障项目实施的制度措施</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1.与财政对接，按时拨付项目资金，保障项目实施进度。2.积极开展项目绩效评价。3.坚决执行转款专用、专项核算。</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2025年1月-12月各乡镇卫生院进行上报，甘州区卫生健康局审核后发放.</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组织实施单位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监督管理单位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各乡镇卫生院</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需要说明的其他情况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无</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项目测算</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663"/>
        <w:gridCol w:w="663"/>
        <w:gridCol w:w="663"/>
        <w:gridCol w:w="663"/>
        <w:gridCol w:w="663"/>
        <w:gridCol w:w="663"/>
        <w:gridCol w:w="765"/>
        <w:gridCol w:w="663"/>
        <w:gridCol w:w="664"/>
        <w:gridCol w:w="664"/>
        <w:gridCol w:w="664"/>
        <w:gridCol w:w="664"/>
        <w:gridCol w:w="664"/>
        <w:gridCol w:w="664"/>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项目任务明细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支出标准分类</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计算方式</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支出标准值（元）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计量单位</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计量数</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单价（万元）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测算依据及说明</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标准模板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2025年专项项目支出</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2025年离岗乡村医生工龄补助市、区级配套</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暂定标准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定额</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2025年离岗乡村医生工龄补助市、区级配套</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分年支出计划</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2347"/>
        <w:gridCol w:w="2347"/>
        <w:gridCol w:w="2348"/>
        <w:gridCol w:w="2348"/>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总金额（万元）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测算参考值</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项目绩效目标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7512"/>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项目绩效目标</w:t>
            </w:r>
          </w:p>
        </w:tc>
        <w:tc>
          <w:tcPr>
            <w:tcW w:w="4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2025年通过发放离岗村医工龄补助，保障离岗乡村医生基本生活，稳定乡村医生队伍建设，提升离岗村医的幸福生活指数。</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项目绩效指标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173"/>
        <w:gridCol w:w="1173"/>
        <w:gridCol w:w="1174"/>
        <w:gridCol w:w="1174"/>
        <w:gridCol w:w="1174"/>
        <w:gridCol w:w="1174"/>
        <w:gridCol w:w="1174"/>
        <w:gridCol w:w="1174"/>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4375" w:type="pct"/>
            <w:gridSpan w:val="7"/>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分解指标</w:t>
            </w:r>
          </w:p>
        </w:tc>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一级指标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三级指标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指标值类型</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度量单位</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指标值内容</w:t>
            </w:r>
          </w:p>
        </w:tc>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135.38</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万元</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生态环境成本指标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产出指标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离岗乡村医生工龄补助人数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人</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质量指标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离岗村医工龄补助发资金放保障率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时效指标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离岗乡村医生工龄补助发放及时性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及时</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效益指标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离岗村医经济收益提升性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村医队伍和谐稳定提升性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生活幸福指数提升性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生态效益</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可持续影响</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满意度指标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服务对象满意度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离岗村医满意度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95</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事前绩效评估打分</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331"/>
        <w:gridCol w:w="1331"/>
        <w:gridCol w:w="1331"/>
        <w:gridCol w:w="1331"/>
        <w:gridCol w:w="1331"/>
        <w:gridCol w:w="1331"/>
        <w:gridCol w:w="1331"/>
        <w:gridCol w:w="36"/>
        <w:gridCol w:w="3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审核内容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审核要点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权重</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单位得分</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部门得分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项目具有公共性，属于公共财政支持范围 (此项为否决性核心指标);属于省级支出责任 (此项为否决性核心指标)。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项目管理制度健全性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保障项目实施的相关管理制度健全、措施有效。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立项必要性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筹资来源合规性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资金筹措渠道及方式合法合规;资金投入来源结构合理、真实可靠</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财政投入能力风险性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项目投入规模适当;中请预算在财政可承受能力范围内。</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与国家政策和规划相关;与我省行业发展规划相关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实施方案可行性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筹资风险可控性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对筹资风险认识全面;针对预期风险制定相应的应对措施;应对措施可行且有效。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实施方案完备性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项目实施方案详实完备;项目实施内容明确具体</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投入产出比科学合理，符合投入最小化、产出最大化预期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绩效目标明确合理性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是否设定绩效目标 (此项为否决性核心指标); 与部门长期规划目标、年度工作目标一致;项目受益群体定位准确;绩效目标与项目实施内容高度相关。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绩效目标合理性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项目实施计划可行性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项目实施计划进度节点明确且安排合理;项目实施计划与资金使用计划匹配;实施计划符合全生命周期管理的要求。</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项目管理规范性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项目设立、退出有明确的时限;项目清理、退出调整有明确的时限和步骤</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投入经济性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绩效指标细化量程度</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将项目绩效目标细化量化为具体的绩效指标，包括产出指标和效果指标且符合相关原则，即指标是明确的、可衡量的、可实现的、相关的具有时限的。</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需求相关性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项目具有迫切的现实需求;项目不具有替代性;项目有确定的服务对象或受益对象。</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项目管理机构健全有效性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项目的管理机构健全;管理机构职责分工明确:项目人员、设施、物资等基础保障条件完备。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成本控制措施有效性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成本测算科学合理;成本控制制度健全且措施有效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职能相关性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与主管部门职能、规划及年度重点工作相关。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筹资合规性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成本效益相关性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项目投入成本与预期效益高度相关，符合成本最小化、效益最大化预期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预算编制真实完整;预算编制内容科学合理、明确细化(与绩效目标、实施方案紧密衔接);预算标准依据充分、测算准确</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0" w:type="auto"/>
            <w:shd w:val="clear"/>
            <w:vAlign w:val="center"/>
          </w:tcPr>
          <w:p>
            <w:pPr>
              <w:jc w:val="center"/>
              <w:rPr>
                <w:rFonts w:hint="eastAsia" w:ascii="宋体"/>
                <w:sz w:val="21"/>
                <w:szCs w:val="21"/>
              </w:rPr>
            </w:pPr>
          </w:p>
        </w:tc>
        <w:tc>
          <w:tcPr>
            <w:tcW w:w="0" w:type="auto"/>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项目附件</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440"/>
        <w:gridCol w:w="1440"/>
        <w:gridCol w:w="1440"/>
        <w:gridCol w:w="1440"/>
        <w:gridCol w:w="1440"/>
        <w:gridCol w:w="1439"/>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文号</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文件名</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类型</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附件</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上传人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2025年一般公共财政预算本级专项预算.pdf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离岗村医工领补助</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离岗村医工领补助.pdf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离岗村医工领补助.pdf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卫健局+在岗、离岗村医养老</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卫健局+在岗、离岗村医养老.pdf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卫健局+在岗、离岗村医养老.pdf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bl>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BC1F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Office_11.1.0.10577_F1E327BC-269C-435d-A152-05C5408002CA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2024-12-26T03:19:18Z</dcterms:created>
  <dc:creator>Administrator</dc:creator>
  <cp:lastModifiedBy>Administrator</cp:lastModifiedBy>
  <dcterms:modified xsi:type="dcterms:W3CDTF">2024-12-26T03:19:26Z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E75BD457D7204276BAC2D01F20FD9716</vt:lpwstr>
  </property>
</Properties>
</file>