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b/>
          <w:bCs/>
          <w:sz w:val="18"/>
          <w:szCs w:val="18"/>
        </w:rPr>
      </w:pPr>
      <w:r>
        <w:rPr>
          <w:b/>
          <w:bCs/>
          <w:sz w:val="18"/>
          <w:szCs w:val="18"/>
        </w:rPr>
        <w:t>基本信息</w:t>
      </w:r>
    </w:p>
    <w:tbl>
      <w:tblPr>
        <w:tblStyle w:val="4"/>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1878"/>
        <w:gridCol w:w="2817"/>
        <w:gridCol w:w="1878"/>
        <w:gridCol w:w="2817"/>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项目类型</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 本级支出项目</w:t>
            </w:r>
          </w:p>
        </w:tc>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二级项目名称</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月度劳动力调查和人口抽样调查工作经费</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项目名称</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月度劳动力调查和人口抽样调查工作经费</w:t>
            </w:r>
          </w:p>
        </w:tc>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分配方式</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起始年份</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2025</w:t>
            </w:r>
          </w:p>
        </w:tc>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项目期限</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 年</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业务管理处室</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0105 行财股</w:t>
            </w:r>
          </w:p>
        </w:tc>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资金主管处室</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0105 行财股</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资金主管部门</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011 甘州区统计局</w:t>
            </w:r>
          </w:p>
        </w:tc>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重要程度</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 一般</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热点分类</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004003 其他刚性支出</w:t>
            </w:r>
          </w:p>
        </w:tc>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联系人</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张海英</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联系电话</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8215176</w:t>
            </w:r>
          </w:p>
        </w:tc>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编报模板</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 标准模板</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是否追踪</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否</w:t>
            </w:r>
          </w:p>
        </w:tc>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是否资产配置</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否</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是否科研项目</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否</w:t>
            </w:r>
          </w:p>
        </w:tc>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是否设置使用范围</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否</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是否二次分配</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否</w:t>
            </w:r>
          </w:p>
        </w:tc>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是否基建项目</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否</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是否涉密</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否</w:t>
            </w:r>
          </w:p>
        </w:tc>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项目总金额（元）</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110143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其中：非财政性资金（元）</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项目概述</w:t>
            </w:r>
          </w:p>
        </w:tc>
        <w:tc>
          <w:tcPr>
            <w:tcW w:w="15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根据国家统计局《关于进一步加强劳动力调查工作的通知》（国统字〔2020〕125号）精神、国家统计局甘肃调查总队《关于做好月度劳动力调查工作的通知》（甘调字〔2020〕59号）文件精神，我局严格按照国家统计局和国家统计局甘肃调查总队的总体要求，认真学习相关文件精神，优化调查方法，组织专业人员狠抓宣传发动、培训指导，摸清情况,按要求逐月完成月度城镇劳动力失业调查工作。 2.人口变动抽样调查是国家、省和市的一项重要年度统计调查，主要用于了解2021年以来县区级人口在数量、素质、结构、分布、居住以及各项生活需求等方面的变化情况，为各级党委、政府制定国民经济和社会发展规划提供科学准确的统计信息支持。</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703"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政策依据</w:t>
            </w:r>
          </w:p>
        </w:tc>
        <w:tc>
          <w:tcPr>
            <w:tcW w:w="4000" w:type="pct"/>
            <w:gridSpan w:val="3"/>
            <w:tcBorders>
              <w:top w:val="single" w:color="000000" w:sz="4" w:space="0"/>
              <w:left w:val="single" w:color="000000" w:sz="4" w:space="0"/>
            </w:tcBorders>
            <w:vAlign w:val="center"/>
          </w:tcPr>
          <w:p>
            <w:pPr>
              <w:jc w:val="left"/>
              <w:rPr>
                <w:rFonts w:ascii="宋体" w:hAnsi="宋体" w:eastAsia="宋体" w:cs="宋体"/>
                <w:sz w:val="17"/>
                <w:szCs w:val="17"/>
              </w:rPr>
            </w:pPr>
            <w:r>
              <w:rPr>
                <w:sz w:val="17"/>
                <w:szCs w:val="17"/>
              </w:rPr>
              <w:t>1.国家统计局《关于进一步加强劳动力调查工作的通知》（国统字〔2020〕125号）、国家统计局甘肃调查总队《关于做好月度劳动力调查工作的通知》（甘调字〔2020〕59号） 2.《张掖市2024年人口抽样调查工作时间安排》2024.9.26</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基本情况</w:t>
            </w:r>
          </w:p>
        </w:tc>
        <w:tc>
          <w:tcPr>
            <w:tcW w:w="4000" w:type="pct"/>
            <w:gridSpan w:val="3"/>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（1）.月度劳动力调查工作主要完成抽选调查样本，组织开展样本核实，选聘调查员，组织培训调查人员13名，每月对城镇失业人口进行入户实地调查，并录入系统，汇总上报到国家统计局张掖调查队。 （2）.根据2024年张掖市人口抽样调查工作安排，1.九月开展调查员、调查指导员选聘、培训和村级样本核实；2.十月开展住户单元样本核实和住户单元样本核实质量验收及住房单元抽样；3.十一月开展入户登记、复查、登记阶段质量验收、生育核实和社区表填报；4.十二月开展质量抽查。</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项目立项必要性</w:t>
            </w:r>
          </w:p>
        </w:tc>
        <w:tc>
          <w:tcPr>
            <w:tcW w:w="4000" w:type="pct"/>
            <w:gridSpan w:val="3"/>
            <w:tcBorders>
              <w:top w:val="single" w:color="000000" w:sz="4" w:space="0"/>
              <w:left w:val="single" w:color="000000" w:sz="4" w:space="0"/>
            </w:tcBorders>
            <w:vAlign w:val="center"/>
          </w:tcPr>
          <w:p>
            <w:pPr>
              <w:jc w:val="left"/>
              <w:rPr>
                <w:rFonts w:ascii="宋体" w:hAnsi="宋体" w:eastAsia="宋体" w:cs="宋体"/>
                <w:sz w:val="17"/>
                <w:szCs w:val="17"/>
              </w:rPr>
            </w:pPr>
            <w:r>
              <w:rPr>
                <w:sz w:val="17"/>
                <w:szCs w:val="17"/>
              </w:rPr>
              <w:t>1.党的十九届五中全会提出“十四五”时期经济社会发展的目标之一是“民生福祉达到新水平，实现更加充分更高质量就业”。劳动力调查是一项重要的民生调查，通过劳动力调查得到的调查失业率是宏观经济四大指标之一，对于监测宏观经济运行、就业形势变化、民生改善等方面发挥重要作用。 2.人口变动抽样调查是国家、省和市的一项重要年度统计调查，主要用于了解2021年以来县区级人口在数量、素质、结构、分布、居住以及各项生活需求等方面的变化情况，为各级党委、政府制定国民经济和社会发展规划提供科学准确的统计信息支持。</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保障项目实施的制度措施</w:t>
            </w:r>
          </w:p>
        </w:tc>
        <w:tc>
          <w:tcPr>
            <w:tcW w:w="4000" w:type="pct"/>
            <w:gridSpan w:val="3"/>
            <w:tcBorders>
              <w:top w:val="single" w:color="000000" w:sz="4" w:space="0"/>
              <w:left w:val="single" w:color="000000" w:sz="4" w:space="0"/>
            </w:tcBorders>
            <w:vAlign w:val="center"/>
          </w:tcPr>
          <w:p>
            <w:pPr>
              <w:jc w:val="left"/>
              <w:rPr>
                <w:rFonts w:ascii="宋体" w:hAnsi="宋体" w:eastAsia="宋体" w:cs="宋体"/>
                <w:sz w:val="17"/>
                <w:szCs w:val="17"/>
              </w:rPr>
            </w:pPr>
            <w:r>
              <w:rPr>
                <w:sz w:val="17"/>
                <w:szCs w:val="17"/>
              </w:rPr>
              <w:t>1.各级统计调查机构要按照国务院办公厅文件要求和国家统计局的具体部署，压实主体责任，明确任务分工，紧扣时间节点，做好各项工作保障。 2.根据2024年张掖市人口抽样调查工作安排表，对各县区两员”选聘和业务培训情况进行检查，原则上每个村级样本配备两名调查员，一名调查指导员。（普查小区的规模原则上按一个普查员所能承担的工作量确定，一般控制在80户或250人左右）。县区充分利用《调查员手册》、省局下发培训视频等资料做好“两员”培训工作。</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项目实施计划</w:t>
            </w:r>
          </w:p>
        </w:tc>
        <w:tc>
          <w:tcPr>
            <w:tcW w:w="4000" w:type="pct"/>
            <w:gridSpan w:val="3"/>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（1）.月度劳动力调查工作主要完成抽选调查样本，组织开展样本核实，选聘调查员，组织培训调查人员13名，每月对城镇失业人口进行入户实地调查，并录入系统，汇总上报到国家统计局张掖调查队。 （2）.根据2024年张掖市人口抽样调查工作安排，1.九月开展调查员、调查指导员选聘、培训和村级样本核实；2.十月开展住户单元样本核实和住户单元样本核实质量验收及住房单元抽样；3.十一月开展入户登记、复查、登记阶段质量验收、生育核实和社区表填报；4.十二月开展质量抽查。</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组织实施单位</w:t>
            </w:r>
          </w:p>
        </w:tc>
        <w:tc>
          <w:tcPr>
            <w:tcW w:w="4000" w:type="pct"/>
            <w:gridSpan w:val="3"/>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甘州区统计局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监督管理单位</w:t>
            </w:r>
          </w:p>
        </w:tc>
        <w:tc>
          <w:tcPr>
            <w:tcW w:w="4000" w:type="pct"/>
            <w:gridSpan w:val="3"/>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甘州区统计局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项目实施单位</w:t>
            </w:r>
          </w:p>
        </w:tc>
        <w:tc>
          <w:tcPr>
            <w:tcW w:w="4000" w:type="pct"/>
            <w:gridSpan w:val="3"/>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甘州区统计局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需要说明的其他情况</w:t>
            </w:r>
          </w:p>
        </w:tc>
        <w:tc>
          <w:tcPr>
            <w:tcW w:w="4000" w:type="pct"/>
            <w:gridSpan w:val="3"/>
            <w:tcBorders>
              <w:top w:val="single" w:color="000000" w:sz="4" w:space="0"/>
              <w:left w:val="single" w:color="000000" w:sz="4" w:space="0"/>
            </w:tcBorders>
            <w:vAlign w:val="center"/>
          </w:tcPr>
          <w:p>
            <w:pPr>
              <w:jc w:val="center"/>
              <w:rPr>
                <w:rFonts w:ascii="宋体" w:hAnsi="宋体" w:eastAsia="宋体" w:cs="宋体"/>
                <w:sz w:val="17"/>
                <w:szCs w:val="17"/>
              </w:rPr>
            </w:pPr>
          </w:p>
        </w:tc>
      </w:tr>
    </w:tbl>
    <w:p>
      <w:pPr>
        <w:spacing w:line="360" w:lineRule="atLeast"/>
        <w:jc w:val="center"/>
        <w:rPr>
          <w:b/>
          <w:bCs/>
          <w:sz w:val="18"/>
          <w:szCs w:val="18"/>
        </w:rPr>
      </w:pPr>
      <w:r>
        <w:rPr>
          <w:b/>
          <w:bCs/>
          <w:sz w:val="18"/>
          <w:szCs w:val="18"/>
        </w:rPr>
        <w:t>项目测算</w:t>
      </w:r>
    </w:p>
    <w:tbl>
      <w:tblPr>
        <w:tblStyle w:val="4"/>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670"/>
        <w:gridCol w:w="670"/>
        <w:gridCol w:w="670"/>
        <w:gridCol w:w="670"/>
        <w:gridCol w:w="671"/>
        <w:gridCol w:w="671"/>
        <w:gridCol w:w="671"/>
        <w:gridCol w:w="671"/>
        <w:gridCol w:w="671"/>
        <w:gridCol w:w="671"/>
        <w:gridCol w:w="671"/>
        <w:gridCol w:w="671"/>
        <w:gridCol w:w="671"/>
        <w:gridCol w:w="671"/>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年度</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编报模板</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项目任务明细</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支出标准</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支出标准分类</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计算方式</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支出标准值（元）</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计量单位</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计量数</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单价（万元）</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测算数（万元）</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申报数（万元）</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审核数（万元）</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测算依据及说明</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2025</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标准模板</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委托业务费、劳务费</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月度劳动力调查和人口抽样调查工作经费</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暂定标准</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定额</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110143</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元</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11.01</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11.01</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11.01</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11.01</w:t>
            </w:r>
          </w:p>
        </w:tc>
        <w:tc>
          <w:tcPr>
            <w:tcW w:w="3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1.关于开展月度劳动力调查工作的通知2.张掖市2024年人口变动抽样调查工作时间安排</w:t>
            </w:r>
          </w:p>
        </w:tc>
      </w:tr>
    </w:tbl>
    <w:p>
      <w:pPr>
        <w:spacing w:line="360" w:lineRule="atLeast"/>
        <w:jc w:val="center"/>
        <w:rPr>
          <w:b/>
          <w:bCs/>
          <w:sz w:val="18"/>
          <w:szCs w:val="18"/>
        </w:rPr>
      </w:pPr>
      <w:r>
        <w:rPr>
          <w:b/>
          <w:bCs/>
          <w:sz w:val="18"/>
          <w:szCs w:val="18"/>
        </w:rPr>
        <w:t>分年支出计划</w:t>
      </w:r>
    </w:p>
    <w:tbl>
      <w:tblPr>
        <w:tblStyle w:val="4"/>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2347"/>
        <w:gridCol w:w="2347"/>
        <w:gridCol w:w="2348"/>
        <w:gridCol w:w="2348"/>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2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年度</w:t>
            </w:r>
          </w:p>
        </w:tc>
        <w:tc>
          <w:tcPr>
            <w:tcW w:w="12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总金额（万元）</w:t>
            </w:r>
          </w:p>
        </w:tc>
        <w:tc>
          <w:tcPr>
            <w:tcW w:w="12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申报数（万元）</w:t>
            </w:r>
          </w:p>
        </w:tc>
        <w:tc>
          <w:tcPr>
            <w:tcW w:w="12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审核数（万元）</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2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测算参考值</w:t>
            </w:r>
          </w:p>
        </w:tc>
        <w:tc>
          <w:tcPr>
            <w:tcW w:w="12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11.01</w:t>
            </w:r>
          </w:p>
        </w:tc>
        <w:tc>
          <w:tcPr>
            <w:tcW w:w="12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11.01</w:t>
            </w:r>
          </w:p>
        </w:tc>
        <w:tc>
          <w:tcPr>
            <w:tcW w:w="12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11.01</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2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2025</w:t>
            </w:r>
          </w:p>
        </w:tc>
        <w:tc>
          <w:tcPr>
            <w:tcW w:w="12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0.00</w:t>
            </w:r>
          </w:p>
        </w:tc>
        <w:tc>
          <w:tcPr>
            <w:tcW w:w="12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11.01</w:t>
            </w:r>
          </w:p>
        </w:tc>
        <w:tc>
          <w:tcPr>
            <w:tcW w:w="125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11.01</w:t>
            </w:r>
          </w:p>
        </w:tc>
      </w:tr>
    </w:tbl>
    <w:p>
      <w:pPr>
        <w:spacing w:line="360" w:lineRule="atLeast"/>
        <w:jc w:val="center"/>
        <w:rPr>
          <w:b/>
          <w:bCs/>
          <w:sz w:val="18"/>
          <w:szCs w:val="18"/>
        </w:rPr>
      </w:pPr>
      <w:r>
        <w:rPr>
          <w:b/>
          <w:bCs/>
          <w:sz w:val="18"/>
          <w:szCs w:val="18"/>
        </w:rPr>
        <w:t>项目绩效目标</w:t>
      </w:r>
    </w:p>
    <w:tbl>
      <w:tblPr>
        <w:tblStyle w:val="4"/>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1878"/>
        <w:gridCol w:w="7512"/>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项目绩效目标</w:t>
            </w:r>
          </w:p>
        </w:tc>
        <w:tc>
          <w:tcPr>
            <w:tcW w:w="4000" w:type="pct"/>
            <w:tcBorders>
              <w:top w:val="single" w:color="000000" w:sz="4" w:space="0"/>
              <w:left w:val="single" w:color="000000" w:sz="4" w:space="0"/>
            </w:tcBorders>
            <w:vAlign w:val="center"/>
          </w:tcPr>
          <w:p>
            <w:pPr>
              <w:jc w:val="left"/>
              <w:rPr>
                <w:rFonts w:ascii="宋体" w:hAnsi="宋体" w:eastAsia="宋体" w:cs="宋体"/>
                <w:sz w:val="17"/>
                <w:szCs w:val="17"/>
              </w:rPr>
            </w:pPr>
            <w:r>
              <w:rPr>
                <w:sz w:val="17"/>
                <w:szCs w:val="17"/>
              </w:rPr>
              <w:t>1.2025年甘州区统计局组织13人按时完成全区月度劳动力调查工作。项目成本控制在110143元以内，调查工作完成率达到100%，调查工作及时完成，调查对象覆盖率达到100%，调查对象满意度90%以上。通过以上工作的开展，可以提高月度劳动力调查员的工作积极主动性，同时对于监测宏观经济运行、就业形势变化、民生改善等方面发挥重要作用。 2.甘州区统计局2025年组织人员对15个样本点进行人口变动抽样调查，调查完成率100%，调查覆盖率100%。通过以上工作的开展可以为各级党委、政府制定国民经济和社会发展规划提供科学准确的统计信息支持。</w:t>
            </w:r>
          </w:p>
        </w:tc>
      </w:tr>
    </w:tbl>
    <w:p>
      <w:pPr>
        <w:spacing w:line="360" w:lineRule="atLeast"/>
        <w:jc w:val="center"/>
        <w:rPr>
          <w:b/>
          <w:bCs/>
          <w:sz w:val="18"/>
          <w:szCs w:val="18"/>
        </w:rPr>
      </w:pPr>
      <w:r>
        <w:rPr>
          <w:b/>
          <w:bCs/>
          <w:sz w:val="18"/>
          <w:szCs w:val="18"/>
        </w:rPr>
        <w:t>项目绩效指标</w:t>
      </w:r>
    </w:p>
    <w:tbl>
      <w:tblPr>
        <w:tblStyle w:val="4"/>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1138"/>
        <w:gridCol w:w="1138"/>
        <w:gridCol w:w="1138"/>
        <w:gridCol w:w="1138"/>
        <w:gridCol w:w="1138"/>
        <w:gridCol w:w="1138"/>
        <w:gridCol w:w="1423"/>
        <w:gridCol w:w="1139"/>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350" w:type="pct"/>
            <w:gridSpan w:val="7"/>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分解指标</w:t>
            </w:r>
          </w:p>
        </w:tc>
        <w:tc>
          <w:tcPr>
            <w:tcW w:w="600" w:type="pct"/>
            <w:vMerge w:val="restar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备注</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一级指标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二级指标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三级指标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指标值类型</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指标值</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度量单位</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指标值内容</w:t>
            </w:r>
          </w:p>
        </w:tc>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00" w:type="pct"/>
            <w:vMerge w:val="restar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成本指标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经济成本指标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委托业务费</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32991</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元</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经济成本指标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劳务费</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77152</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元</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经济成本指标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项目成本控制数</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110143</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元</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社会成本指标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生态环境成本指标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00" w:type="pct"/>
            <w:vMerge w:val="restar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产出指标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数量指标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月度劳动力调查辅调员人数</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13</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人</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数量指标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人口抽样调查社区点</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15</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个</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质量指标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人口抽样调查社区覆盖率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100</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质量指标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月度劳动力调查工作完成率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100</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质量指标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人口抽样调查工作完成率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100</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时效指标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人口抽样调查完成及时性</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定性</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及时</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时效指标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月度劳动力调查员补助发放及时性</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定性</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及时</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00" w:type="pct"/>
            <w:vMerge w:val="restar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效益指标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经济效益</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社会效益</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国民经济社会发展规划科学信息提供性</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定性</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提供</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社会效益</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提高月度劳动力调查员工作积极性</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定性</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提高</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生态效益</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vMerge w:val="continue"/>
            <w:tcBorders>
              <w:top w:val="single" w:color="000000" w:sz="4" w:space="0"/>
              <w:left w:val="single" w:color="000000" w:sz="4" w:space="0"/>
            </w:tcBorders>
            <w:vAlign w:val="center"/>
          </w:tcPr>
          <w:p>
            <w:pP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可持续影响</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满意度指标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服务对象满意度</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调查对象满意率</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90</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w:t>
            </w: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600" w:type="pct"/>
            <w:tcBorders>
              <w:top w:val="single" w:color="000000" w:sz="4" w:space="0"/>
              <w:left w:val="single" w:color="000000" w:sz="4" w:space="0"/>
            </w:tcBorders>
            <w:vAlign w:val="center"/>
          </w:tcPr>
          <w:p>
            <w:pPr>
              <w:jc w:val="center"/>
              <w:rPr>
                <w:rFonts w:ascii="宋体" w:hAnsi="宋体" w:eastAsia="宋体" w:cs="宋体"/>
                <w:sz w:val="17"/>
                <w:szCs w:val="17"/>
              </w:rPr>
            </w:pPr>
          </w:p>
        </w:tc>
      </w:tr>
    </w:tbl>
    <w:p>
      <w:pPr>
        <w:spacing w:line="360" w:lineRule="atLeast"/>
        <w:jc w:val="center"/>
        <w:rPr>
          <w:b/>
          <w:bCs/>
          <w:sz w:val="18"/>
          <w:szCs w:val="18"/>
        </w:rPr>
      </w:pPr>
      <w:r>
        <w:rPr>
          <w:b/>
          <w:bCs/>
          <w:sz w:val="18"/>
          <w:szCs w:val="18"/>
        </w:rPr>
        <w:t>事前绩效评估打分</w:t>
      </w:r>
    </w:p>
    <w:tbl>
      <w:tblPr>
        <w:tblStyle w:val="4"/>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1331"/>
        <w:gridCol w:w="1331"/>
        <w:gridCol w:w="1331"/>
        <w:gridCol w:w="1331"/>
        <w:gridCol w:w="1331"/>
        <w:gridCol w:w="1331"/>
        <w:gridCol w:w="1331"/>
        <w:gridCol w:w="36"/>
        <w:gridCol w:w="37"/>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审核内容</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审核要点</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权重</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单位意见</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单位得分</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部门意见</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部门得分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投入产出合理性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投入产出比科学合理，符合投入最小化、产出最大化预期</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8</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8</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项目管理规范性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项目设立、退出有明确的时限;项目清理、退出调整有明确的时限和步骤</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4</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4</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绩效指标细化量程度</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将项目绩效目标细化量化为具体的绩效指标，包括产出指标和效果指标且符合相关原则，即指标是明确的、可衡量的、可实现的、相关的具有时限的。</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10</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10</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成本效益相关性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项目投入成本与预期效益高度相关，符合成本最小化、效益最大化预期</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8</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8</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预算编制准确性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预算编制真实完整;预算编制内容科学合理、明确细化(与绩效目标、实施方案紧密衔接);预算标准依据充分、测算准确</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职能相关性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与主管部门职能、规划及年度重点工作相关。</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3</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3</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实施方案完备性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项目实施方案详实完备;项目实施内容明确具体</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2</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2</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项目管理制度健全性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保障项目实施的相关管理制度健全、措施有效。</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2</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2</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政策相关性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与国家政策和规划相关;与我省行业发展规划相关</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6</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6</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6</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筹资来源合规性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资金筹措渠道及方式合法合规;资金投入来源结构合理、真实可靠</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筹资合规性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实施方案可行性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需求相关性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项目具有迫切的现实需求;项目不具有替代性;项目有确定的服务对象或受益对象。</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8</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8</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筹资风险可控性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对筹资风险认识全面;针对预期风险制定相应的应对措施;应对措施可行且有效。</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立项必要性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项目实施计划可行性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项目实施计划进度节点明确且安排合理;项目实施计划与资金使用计划匹配;实施计划符合全生命周期管理的要求。</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成本控制措施有效性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成本测算科学合理;成本控制制度健全且措施有效</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4</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4</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预算编制准确性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项目管理机构健全有效性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项目的管理机构健全;管理机构职责分工明确:项目人员、设施、物资等基础保障条件完备。</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2</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2</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投入经济性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绩效目标明确合理性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是否设定绩效目标 (此项为否决性核心指标); 与部门长期规划目标、年度工作目标一致;项目受益群体定位准确;绩效目标与项目实施内容高度相关。</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10</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9</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财政投入能力风险性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项目投入规模适当;中请预算在财政可承受能力范围内。</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财政投入相关性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项目具有公共性，属于公共财政支持范围 (此项为否决性核心指标);属于省级支出责任 (此项为否决性核心指标)。</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8</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8</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绩效目标合理性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39" w:type="dxa"/>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单位综合评定等级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99</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单位总体意见</w:t>
            </w:r>
          </w:p>
        </w:tc>
        <w:tc>
          <w:tcPr>
            <w:tcW w:w="2500" w:type="pct"/>
            <w:gridSpan w:val="8"/>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甘州区统计局建议将月度劳动力调查和人口抽样调查工作经费列入2025年预算。</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部门综合评定等级</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优</w:t>
            </w:r>
          </w:p>
        </w:tc>
        <w:tc>
          <w:tcPr>
            <w:tcW w:w="7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99</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部门总体意见</w:t>
            </w:r>
          </w:p>
        </w:tc>
        <w:tc>
          <w:tcPr>
            <w:tcW w:w="2500" w:type="pct"/>
            <w:gridSpan w:val="8"/>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同意将月度劳动力调查和人口抽样调查工作经费列入2025年预算。</w:t>
            </w:r>
          </w:p>
        </w:tc>
      </w:tr>
    </w:tbl>
    <w:p>
      <w:pPr>
        <w:spacing w:line="360" w:lineRule="atLeast"/>
        <w:jc w:val="center"/>
        <w:rPr>
          <w:b/>
          <w:bCs/>
          <w:sz w:val="18"/>
          <w:szCs w:val="18"/>
        </w:rPr>
      </w:pPr>
      <w:r>
        <w:rPr>
          <w:b/>
          <w:bCs/>
          <w:sz w:val="18"/>
          <w:szCs w:val="18"/>
        </w:rPr>
        <w:t>项目附件</w:t>
      </w:r>
    </w:p>
    <w:tbl>
      <w:tblPr>
        <w:tblStyle w:val="4"/>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1565"/>
        <w:gridCol w:w="1565"/>
        <w:gridCol w:w="1565"/>
        <w:gridCol w:w="1565"/>
        <w:gridCol w:w="1565"/>
        <w:gridCol w:w="1565"/>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文号</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文件名</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类型</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备注</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附件</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上传人</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PrEx>
        <w:trPr>
          <w:trHeight w:val="420" w:hRule="atLeast"/>
        </w:trPr>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关于开展月度劳动力调查工作的通知2020.12.8</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关于开展月度劳动力调查工作的通知2020.12.8.pdf</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 关于开展月度劳动力调查工作的通知2020.12.8.pdf</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高晓春</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甘州区月度劳动力工作通知_2021.3.3</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甘州区月度劳动力工作通知_2021.3.3.pdf</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 甘州区</w:t>
            </w:r>
            <w:bookmarkStart w:id="0" w:name="_GoBack"/>
            <w:bookmarkEnd w:id="0"/>
            <w:r>
              <w:rPr>
                <w:sz w:val="17"/>
                <w:szCs w:val="17"/>
              </w:rPr>
              <w:t>月度劳动力工作通知_2021.3.3.pdf</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高晓春</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张掖市2024年人口变动抽样调查工作时间安排</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张掖市2024年人口变动抽样调查工作时间安排.pdf</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1 张掖市2024年人口变动抽样调查工作时间安排.pdf</w:t>
            </w: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p>
        </w:tc>
        <w:tc>
          <w:tcPr>
            <w:tcW w:w="800" w:type="pct"/>
            <w:tcBorders>
              <w:top w:val="single" w:color="000000" w:sz="4" w:space="0"/>
              <w:left w:val="single" w:color="000000" w:sz="4" w:space="0"/>
            </w:tcBorders>
            <w:vAlign w:val="center"/>
          </w:tcPr>
          <w:p>
            <w:pPr>
              <w:jc w:val="center"/>
              <w:rPr>
                <w:rFonts w:ascii="宋体" w:hAnsi="宋体" w:eastAsia="宋体" w:cs="宋体"/>
                <w:sz w:val="17"/>
                <w:szCs w:val="17"/>
              </w:rPr>
            </w:pPr>
            <w:r>
              <w:rPr>
                <w:sz w:val="17"/>
                <w:szCs w:val="17"/>
              </w:rPr>
              <w:t>高晓春</w:t>
            </w:r>
          </w:p>
        </w:tc>
      </w:tr>
    </w:tbl>
    <w:p>
      <w:pPr>
        <w:jc w:val="left"/>
        <w:rPr>
          <w:sz w:val="24"/>
          <w:szCs w:val="24"/>
        </w:rPr>
      </w:pPr>
    </w:p>
    <w:sectPr>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Mjk1MjFiNjM5NTY3ODc5OTZkNTZmYzBiZTQxMjY5MWEifQ=="/>
    <w:docVar w:name="KSO_WPS_MARK_KEY" w:val="9acbf36c-fe0a-463a-b9d7-78bb42e3d1fa"/>
  </w:docVars>
  <w:rsids>
    <w:rsidRoot w:val="0025257C"/>
    <w:rsid w:val="00007632"/>
    <w:rsid w:val="0025257C"/>
    <w:rsid w:val="00532923"/>
    <w:rsid w:val="22375D48"/>
    <w:rsid w:val="4F7F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3558</Words>
  <Characters>3851</Characters>
  <Lines>31</Lines>
  <Paragraphs>8</Paragraphs>
  <TotalTime>2</TotalTime>
  <ScaleCrop>false</ScaleCrop>
  <LinksUpToDate>false</LinksUpToDate>
  <CharactersWithSpaces>3873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2025-02-19T02:24:00Z</dcterms:created>
  <dc:creator>Administrator</dc:creator>
  <cp:lastModifiedBy>A-mo</cp:lastModifiedBy>
  <dcterms:modified xsi:type="dcterms:W3CDTF">2025-02-25T09:29:57Z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eyJoZGlkIjoiZWI5ZGI4MjM4NjljOTg0YzY2ZTI3ZjBkZTY4OTYxZTMifQ==</vt:lpwstr>
  </property>
  <property fmtid="{D5CDD505-2E9C-101B-9397-08002B2CF9AE}" pid="3" name="KSOProductBuildVer">
    <vt:lpwstr>2052-11.1.0.12165</vt:lpwstr>
  </property>
  <property fmtid="{D5CDD505-2E9C-101B-9397-08002B2CF9AE}" pid="4" name="ICV">
    <vt:lpwstr>57A715C995AB468C810B5D281E86778F_12</vt:lpwstr>
  </property>
</Properties>
</file>