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甘州区教育局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年农村教师生活补助项目资金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绩效评价报告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（一）项目单位基本情况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甘州区下辖18个乡镇，其中17个乡镇设立中心学校，对乡镇区域内的公办幼儿园、小学、初中进行统一管理。各乡镇中心学校归属区教育局管理。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立项情况：根据</w:t>
      </w:r>
      <w:r>
        <w:rPr>
          <w:rFonts w:ascii="仿宋_GB2312" w:hAnsi="仿宋_GB2312" w:eastAsia="仿宋_GB2312" w:cs="仿宋_GB2312"/>
          <w:sz w:val="32"/>
          <w:szCs w:val="32"/>
        </w:rPr>
        <w:t>《甘肃省人民政府办公厅关于印发&lt;甘肃省乡村教师支持计划（2015—2020年）&gt;实施办法的通知》（甘政办发[2015]152号）文件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精神，区财政局将此项目作为民生配套项目列入预算予以保障。根据各学校统计，202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年全区乡镇中心学校教师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人，按照每人每月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400元的标准，全年按照12个月计划的标准，需要补助资金5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万元。省、区财政按照5：5比例分担，省级财政承担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区财政承担2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涉及范围：各乡镇中心学校在编在岗教师。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主要内容：为农村教师按月发放生活补助，标准为每人每月平均400元，全年按12个月计发，全年预算支出金额5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目标：落实“城乡统一，重在农村”的义务教育保障机制，体现多劳多得的分配原则，补偿乡村教师在农村工作生活中的额外支出，使农村教师能安心在条件相对较差的农村工作，给农村教师按月发放生活补助，以稳定乡村教师队伍，促进乡村学校教育质量稳定，推动乡村振兴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二、项目实施基本情况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（一）项目的组织管理情况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全年全区各学校累计发放双岗教师生活补助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万元，发放方式为银行代发，预算执行无偏差。各学校执行“校财局管”经费管理制度，所有支付票据经教育局审核后支出。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（二）项目财务管理状况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542.16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449.62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万元，出</w:t>
      </w:r>
      <w:r>
        <w:rPr>
          <w:rFonts w:ascii="仿宋_GB2312" w:hAnsi="仿宋_GB2312" w:eastAsia="仿宋_GB2312" w:cs="仿宋_GB2312"/>
          <w:sz w:val="32"/>
          <w:szCs w:val="32"/>
        </w:rPr>
        <w:t>现差异的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财政安排资金按时到位，资金通过财政一体化平台支付，所有资金支出票据经教育局审核，资金使用合法合规。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三、项目绩效分析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（一）项目绩效评价工作开展情况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进行绩效自评。在此基础上，根据学校上报数据汇总本级实际支出情况，并能过查阅账务资料审查学校上报数据的准确性。通过学校教育教学质量、安全管理、社会反映等方面的问题反馈，分析资金使用效益情况。通过发放调查问卷对学校使用资金后，教师、学校、学生、家长、社会等相关方面的满意度进行测评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（二）项目绩效目标完成情况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一级指标确定为产出指标、效益指标、满意度指标。产出指标通过核查会计资料核实，效益指标通过年度内学校管理相关情况获取，满意度指标通过调查问卷获得。通过现场勘验、资料查阅及调查问卷，二级指标和三级指标均达到了年初设定的绩效目标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（三）项目绩效分析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根据设定的绩效目标与绩效目标完成情况，项目绩效得分100分，绩效目标设定值与完成值无偏差。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（四）项目存在的问题和改进措施； 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四、下一步改进工作的意见和建议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JlMzMzNDUyOTU1ZGUxM2U2N2M4ZDFkYTA1YTYifQ=="/>
  </w:docVars>
  <w:rsids>
    <w:rsidRoot w:val="337F0A3C"/>
    <w:rsid w:val="00331EF2"/>
    <w:rsid w:val="006C5F8E"/>
    <w:rsid w:val="006F465E"/>
    <w:rsid w:val="0083501E"/>
    <w:rsid w:val="00D47006"/>
    <w:rsid w:val="0AEC3153"/>
    <w:rsid w:val="14E36D98"/>
    <w:rsid w:val="1D8A2A83"/>
    <w:rsid w:val="2130749E"/>
    <w:rsid w:val="279963BA"/>
    <w:rsid w:val="337F0A3C"/>
    <w:rsid w:val="3DA24E1F"/>
    <w:rsid w:val="413A5B3B"/>
    <w:rsid w:val="41DD218A"/>
    <w:rsid w:val="41DF222E"/>
    <w:rsid w:val="438D793F"/>
    <w:rsid w:val="4A931137"/>
    <w:rsid w:val="4DFA480C"/>
    <w:rsid w:val="55011CCD"/>
    <w:rsid w:val="60A453D7"/>
    <w:rsid w:val="60D0663D"/>
    <w:rsid w:val="63094C13"/>
    <w:rsid w:val="64CF0A86"/>
    <w:rsid w:val="680F3BF5"/>
    <w:rsid w:val="79C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1050</Words>
  <Characters>1118</Characters>
  <Lines>8</Lines>
  <Paragraphs>2</Paragraphs>
  <TotalTime>66</TotalTime>
  <ScaleCrop>false</ScaleCrop>
  <LinksUpToDate>false</LinksUpToDate>
  <CharactersWithSpaces>1125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2022-12-19T03:16:00Z</dcterms:created>
  <dc:creator>天生我才</dc:creator>
  <cp:lastModifiedBy>幽蘭</cp:lastModifiedBy>
  <cp:lastPrinted>2023-02-12T08:57:00Z</cp:lastPrinted>
  <dcterms:modified xsi:type="dcterms:W3CDTF">2023-12-18T01:59:45Z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EA1808A56BFC47D3BB2DC2E23789A232</vt:lpwstr>
  </property>
</Properties>
</file>