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方正小标宋简体" w:hAnsi="黑体" w:eastAsia="方正小标宋简体"/>
          <w:sz w:val="44"/>
          <w:szCs w:val="44"/>
        </w:rPr>
      </w:pPr>
      <w:r>
        <w:rPr>
          <w:rFonts w:hint="eastAsia" w:ascii="仿宋_GB2312" w:eastAsia="仿宋_GB2312" w:hAnsiTheme="minorEastAsia"/>
          <w:sz w:val="32"/>
          <w:szCs w:val="32"/>
        </w:rPr>
        <w:drawing>
          <wp:anchor distT="0" distB="0" distL="114300" distR="114300" simplePos="0" relativeHeight="251659264" behindDoc="1" locked="0" layoutInCell="1" allowOverlap="1">
            <wp:simplePos x="0" y="0"/>
            <wp:positionH relativeFrom="page">
              <wp:align>right</wp:align>
            </wp:positionH>
            <wp:positionV relativeFrom="paragraph">
              <wp:posOffset>-3480435</wp:posOffset>
            </wp:positionV>
            <wp:extent cx="7559040" cy="4221480"/>
            <wp:effectExtent l="0" t="0" r="3810" b="7620"/>
            <wp:wrapNone/>
            <wp:docPr id="2512824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82455"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9040" cy="4221480"/>
                    </a:xfrm>
                    <a:prstGeom prst="rect">
                      <a:avLst/>
                    </a:prstGeom>
                  </pic:spPr>
                </pic:pic>
              </a:graphicData>
            </a:graphic>
          </wp:anchor>
        </w:drawing>
      </w:r>
      <w:r>
        <w:rPr>
          <w:rFonts w:hint="eastAsia" w:ascii="楷体" w:hAnsi="楷体" w:eastAsia="楷体" w:cs="Times New Roman"/>
          <w:sz w:val="32"/>
          <w:szCs w:val="32"/>
        </w:rPr>
        <w:t>沙校字〔202</w:t>
      </w:r>
      <w:r>
        <w:rPr>
          <w:rFonts w:ascii="楷体" w:hAnsi="楷体" w:eastAsia="楷体" w:cs="Times New Roman"/>
          <w:sz w:val="32"/>
          <w:szCs w:val="32"/>
        </w:rPr>
        <w:t>3</w:t>
      </w:r>
      <w:r>
        <w:rPr>
          <w:rFonts w:hint="eastAsia" w:ascii="楷体" w:hAnsi="楷体" w:eastAsia="楷体" w:cs="Times New Roman"/>
          <w:sz w:val="32"/>
          <w:szCs w:val="32"/>
        </w:rPr>
        <w:t>〕</w:t>
      </w:r>
      <w:r>
        <w:rPr>
          <w:rFonts w:ascii="楷体" w:hAnsi="楷体" w:eastAsia="楷体" w:cs="Times New Roman"/>
          <w:sz w:val="32"/>
          <w:szCs w:val="32"/>
        </w:rPr>
        <w:t>318</w:t>
      </w:r>
      <w:r>
        <w:rPr>
          <w:rFonts w:hint="eastAsia" w:ascii="楷体" w:hAnsi="楷体" w:eastAsia="楷体" w:cs="Times New Roman"/>
          <w:sz w:val="32"/>
          <w:szCs w:val="32"/>
        </w:rPr>
        <w:t xml:space="preserve">号  </w:t>
      </w:r>
      <w:r>
        <w:rPr>
          <w:rFonts w:ascii="楷体" w:hAnsi="楷体" w:eastAsia="楷体" w:cs="Times New Roman"/>
          <w:sz w:val="32"/>
          <w:szCs w:val="32"/>
        </w:rPr>
        <w:t xml:space="preserve">         </w:t>
      </w:r>
      <w:bookmarkStart w:id="3" w:name="_GoBack"/>
      <w:bookmarkEnd w:id="3"/>
      <w:r>
        <w:rPr>
          <w:rFonts w:ascii="楷体" w:hAnsi="楷体" w:eastAsia="楷体" w:cs="Times New Roman"/>
          <w:sz w:val="32"/>
          <w:szCs w:val="32"/>
        </w:rPr>
        <w:t xml:space="preserve">       </w:t>
      </w:r>
      <w:r>
        <w:rPr>
          <w:rFonts w:hint="eastAsia" w:ascii="楷体" w:hAnsi="楷体" w:eastAsia="楷体"/>
          <w:sz w:val="32"/>
          <w:szCs w:val="32"/>
        </w:rPr>
        <w:t>签发人：张平华</w:t>
      </w:r>
    </w:p>
    <w:p>
      <w:pPr>
        <w:spacing w:line="700" w:lineRule="exact"/>
        <w:jc w:val="center"/>
        <w:rPr>
          <w:rFonts w:ascii="方正小标宋简体" w:hAnsi="黑体" w:eastAsia="方正小标宋简体"/>
          <w:sz w:val="44"/>
          <w:szCs w:val="44"/>
        </w:rPr>
      </w:pP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甘州区沙井镇中心学校</w:t>
      </w:r>
    </w:p>
    <w:p>
      <w:pPr>
        <w:spacing w:line="700" w:lineRule="exact"/>
        <w:jc w:val="center"/>
        <w:rPr>
          <w:rFonts w:ascii="方正小标宋简体" w:hAnsi="黑体" w:eastAsia="方正小标宋简体"/>
          <w:sz w:val="44"/>
          <w:szCs w:val="44"/>
        </w:rPr>
      </w:pPr>
      <w:r>
        <w:rPr>
          <w:rFonts w:ascii="方正小标宋简体" w:hAnsi="黑体" w:eastAsia="方正小标宋简体"/>
          <w:sz w:val="44"/>
          <w:szCs w:val="44"/>
        </w:rPr>
        <w:t>2022</w:t>
      </w:r>
      <w:r>
        <w:rPr>
          <w:rFonts w:hint="eastAsia" w:ascii="方正小标宋简体" w:hAnsi="黑体" w:eastAsia="方正小标宋简体"/>
          <w:sz w:val="44"/>
          <w:szCs w:val="44"/>
        </w:rPr>
        <w:t>年部门整体支出绩效目标评价</w: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自评报告</w:t>
      </w:r>
    </w:p>
    <w:p>
      <w:pPr>
        <w:spacing w:line="560" w:lineRule="exact"/>
        <w:jc w:val="center"/>
        <w:rPr>
          <w:rFonts w:asciiTheme="minorEastAsia" w:hAnsiTheme="minorEastAsia"/>
          <w:sz w:val="32"/>
          <w:szCs w:val="32"/>
        </w:rPr>
      </w:pPr>
    </w:p>
    <w:p>
      <w:pPr>
        <w:spacing w:line="560" w:lineRule="exact"/>
        <w:jc w:val="left"/>
        <w:rPr>
          <w:rFonts w:ascii="仿宋_GB2312" w:hAnsi="等线" w:eastAsia="仿宋_GB2312" w:cs="Times New Roman"/>
          <w:sz w:val="32"/>
          <w:szCs w:val="32"/>
        </w:rPr>
      </w:pPr>
      <w:r>
        <w:rPr>
          <w:rFonts w:hint="eastAsia" w:ascii="仿宋_GB2312" w:hAnsi="等线" w:eastAsia="仿宋_GB2312" w:cs="Times New Roman"/>
          <w:sz w:val="32"/>
          <w:szCs w:val="32"/>
        </w:rPr>
        <w:t>甘州区教育局：</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为提高本单位财政拨入资金的使用效益，确保资金使用的规范性和有效性，现将我单位2</w:t>
      </w:r>
      <w:r>
        <w:rPr>
          <w:rFonts w:ascii="仿宋_GB2312" w:hAnsi="等线" w:eastAsia="仿宋_GB2312" w:cs="Times New Roman"/>
          <w:sz w:val="32"/>
          <w:szCs w:val="32"/>
        </w:rPr>
        <w:t>022</w:t>
      </w:r>
      <w:r>
        <w:rPr>
          <w:rFonts w:hint="eastAsia" w:ascii="仿宋_GB2312" w:hAnsi="等线" w:eastAsia="仿宋_GB2312" w:cs="Times New Roman"/>
          <w:sz w:val="32"/>
          <w:szCs w:val="32"/>
        </w:rPr>
        <w:t>年度部门整体支出绩效目标自评情况报告如下：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（一）部门职责</w:t>
      </w:r>
    </w:p>
    <w:p>
      <w:pPr>
        <w:spacing w:line="560" w:lineRule="exact"/>
        <w:ind w:firstLine="640" w:firstLineChars="200"/>
        <w:rPr>
          <w:rFonts w:ascii="仿宋_GB2312" w:eastAsia="仿宋_GB2312" w:hAnsiTheme="minorEastAsia"/>
          <w:sz w:val="32"/>
          <w:szCs w:val="32"/>
        </w:rPr>
        <w:sectPr>
          <w:pgSz w:w="11906" w:h="16838"/>
          <w:pgMar w:top="6237" w:right="1797" w:bottom="1440" w:left="1797" w:header="851" w:footer="992" w:gutter="0"/>
          <w:cols w:space="425" w:num="1"/>
          <w:docGrid w:linePitch="312" w:charSpace="0"/>
        </w:sectPr>
      </w:pPr>
      <w:r>
        <w:rPr>
          <w:rFonts w:hint="eastAsia" w:ascii="仿宋_GB2312" w:eastAsia="仿宋_GB2312" w:hAnsiTheme="minorEastAsia"/>
          <w:sz w:val="32"/>
          <w:szCs w:val="32"/>
        </w:rPr>
        <w:t>我校是甘州区教育局下属的一所农村九年一贯制学校，是财政全额拨款事业单位。财务室配备会计、出纳各一人，执行政府会计制度,进行单位经费核算及资产核算。</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其主要职能是：认真贯彻执行党和国家的教育方针及有关教育的法律法规，贯彻落实上级管理部门的指示精神和工作任务，树立先进的教育思想和办学理念，全面实施素质教育，提高教育教学质量。主持负责沙井镇中心学校全面工作，把握中心学校教育改革与发展的大政方针，制定中心学校近、远期工作规划，督促、检查中心学校成员工作执行情况，与中心学校成员共谋发展大计。抓好所辖学校（园）领导班子和教师队伍建设，督促学校（园）全面完成教育教学任务和上级主管部门交办的临时性工作任务，做好管理、协调和指导工作。协助区教育局抓好学校布局调整、教职工编制核定、校（园）长和教职工的调配管理、对学校（园）的督导评估等工作。负责中心学校教育会计核算工作，把好政策关。完成区教育局布置的各项任务。</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（二）机构设置</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甘州区沙井镇中心学校下属有8所学校，其中九年一贯制学校1所，完全小学1所，教学点4 所，幼儿园2所。中心学校内设行政办公室、教导处、教育科研室、总务处、财务室、教研室、信息中心、党务办公室、工会等责任科室。年初教职工117人，在校学生1325，年内退休4人，新入职7</w:t>
      </w:r>
      <w:r>
        <w:rPr>
          <w:rFonts w:ascii="仿宋_GB2312" w:eastAsia="仿宋_GB2312" w:hAnsiTheme="minorEastAsia"/>
          <w:sz w:val="32"/>
          <w:szCs w:val="32"/>
        </w:rPr>
        <w:t>人，</w:t>
      </w:r>
      <w:r>
        <w:rPr>
          <w:rFonts w:hint="eastAsia" w:ascii="仿宋_GB2312" w:eastAsia="仿宋_GB2312" w:hAnsiTheme="minorEastAsia"/>
          <w:sz w:val="32"/>
          <w:szCs w:val="32"/>
        </w:rPr>
        <w:t>年末教职工</w:t>
      </w:r>
      <w:r>
        <w:rPr>
          <w:rFonts w:ascii="仿宋_GB2312" w:eastAsia="仿宋_GB2312" w:hAnsiTheme="minorEastAsia"/>
          <w:sz w:val="32"/>
          <w:szCs w:val="32"/>
        </w:rPr>
        <w:t>120</w:t>
      </w:r>
      <w:r>
        <w:rPr>
          <w:rFonts w:hint="eastAsia" w:ascii="仿宋_GB2312" w:eastAsia="仿宋_GB2312" w:hAnsiTheme="minorEastAsia"/>
          <w:sz w:val="32"/>
          <w:szCs w:val="32"/>
        </w:rPr>
        <w:t>人，学学生10</w:t>
      </w:r>
      <w:r>
        <w:rPr>
          <w:rFonts w:ascii="仿宋_GB2312" w:eastAsia="仿宋_GB2312" w:hAnsiTheme="minorEastAsia"/>
          <w:sz w:val="32"/>
          <w:szCs w:val="32"/>
        </w:rPr>
        <w:t>30</w:t>
      </w:r>
      <w:r>
        <w:rPr>
          <w:rFonts w:hint="eastAsia" w:ascii="仿宋_GB2312" w:eastAsia="仿宋_GB2312" w:hAnsiTheme="minorEastAsia"/>
          <w:sz w:val="32"/>
          <w:szCs w:val="32"/>
        </w:rPr>
        <w:t>人。</w:t>
      </w:r>
    </w:p>
    <w:p>
      <w:pPr>
        <w:spacing w:line="560" w:lineRule="exact"/>
        <w:ind w:firstLine="640" w:firstLineChars="200"/>
        <w:rPr>
          <w:rFonts w:ascii="仿宋_GB2312" w:eastAsia="仿宋_GB2312" w:hAnsiTheme="minorEastAsia"/>
          <w:sz w:val="32"/>
          <w:szCs w:val="32"/>
        </w:rPr>
      </w:pPr>
      <w:r>
        <w:rPr>
          <w:rFonts w:hint="eastAsia" w:ascii="楷体" w:hAnsi="楷体" w:eastAsia="楷体"/>
          <w:sz w:val="32"/>
          <w:szCs w:val="32"/>
        </w:rPr>
        <w:t>（三）本单位（部门）202</w:t>
      </w:r>
      <w:r>
        <w:rPr>
          <w:rFonts w:ascii="楷体" w:hAnsi="楷体" w:eastAsia="楷体"/>
          <w:sz w:val="32"/>
          <w:szCs w:val="32"/>
        </w:rPr>
        <w:t>2</w:t>
      </w:r>
      <w:r>
        <w:rPr>
          <w:rFonts w:hint="eastAsia" w:ascii="楷体" w:hAnsi="楷体" w:eastAsia="楷体"/>
          <w:sz w:val="32"/>
          <w:szCs w:val="32"/>
        </w:rPr>
        <w:t>年的整体绩效目标为</w:t>
      </w:r>
      <w:r>
        <w:rPr>
          <w:rFonts w:hint="eastAsia" w:ascii="仿宋_GB2312" w:eastAsia="仿宋_GB2312" w:hAnsiTheme="minorEastAsia"/>
          <w:sz w:val="32"/>
          <w:szCs w:val="32"/>
        </w:rPr>
        <w:t>：</w:t>
      </w:r>
    </w:p>
    <w:p>
      <w:pPr>
        <w:spacing w:line="56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rPr>
        <w:t>贯彻落实党和国家的相关教育方针政策；</w:t>
      </w:r>
    </w:p>
    <w:p>
      <w:pPr>
        <w:spacing w:line="56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2.</w:t>
      </w:r>
      <w:r>
        <w:rPr>
          <w:rFonts w:hint="eastAsia" w:ascii="仿宋_GB2312" w:eastAsia="仿宋_GB2312" w:hAnsiTheme="minorEastAsia"/>
          <w:sz w:val="32"/>
          <w:szCs w:val="32"/>
        </w:rPr>
        <w:t>加强校园安全管理工作，在全体师生中积极宣传安全教育知识；</w:t>
      </w:r>
    </w:p>
    <w:p>
      <w:pPr>
        <w:spacing w:line="56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积极加强教师培训工作及师德师风建设工作；</w:t>
      </w:r>
    </w:p>
    <w:p>
      <w:pPr>
        <w:spacing w:line="56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认真抓好教育教学质量，全面推行素质教育，培养合格的社会主义建设者和接班人；</w:t>
      </w:r>
    </w:p>
    <w:p>
      <w:pPr>
        <w:spacing w:line="56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加强学校后勤管理工作，营造良好的校园文化氛围，抓好学校各项项目建设工作，努力改善办学条件；</w:t>
      </w:r>
    </w:p>
    <w:p>
      <w:pPr>
        <w:spacing w:line="56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严肃财经纪律，开源节流，合理开支相关经费。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二、2</w:t>
      </w:r>
      <w:r>
        <w:rPr>
          <w:rFonts w:ascii="黑体" w:hAnsi="黑体" w:eastAsia="黑体"/>
          <w:sz w:val="32"/>
          <w:szCs w:val="32"/>
        </w:rPr>
        <w:t>022</w:t>
      </w:r>
      <w:r>
        <w:rPr>
          <w:rFonts w:hint="eastAsia" w:ascii="黑体" w:hAnsi="黑体" w:eastAsia="黑体"/>
          <w:sz w:val="32"/>
          <w:szCs w:val="32"/>
        </w:rPr>
        <w:t>年度整体收支情况</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w:t>
      </w:r>
      <w:r>
        <w:rPr>
          <w:rFonts w:ascii="楷体" w:hAnsi="楷体" w:eastAsia="楷体"/>
          <w:sz w:val="32"/>
          <w:szCs w:val="32"/>
        </w:rPr>
        <w:t>.</w:t>
      </w:r>
      <w:r>
        <w:rPr>
          <w:rFonts w:hint="eastAsia" w:ascii="楷体" w:hAnsi="楷体" w:eastAsia="楷体"/>
          <w:sz w:val="32"/>
          <w:szCs w:val="32"/>
        </w:rPr>
        <w:t>收入支出总体情况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2022年度收、支总计均为2496.00万元。与上年度相比,收、支总计各减少175.73万元,下降6.58%,原因是学校布局调整后，教师人数和学生人数减少，公用经费和人员经费随之减少。</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2</w:t>
      </w:r>
      <w:r>
        <w:rPr>
          <w:rFonts w:ascii="楷体" w:hAnsi="楷体" w:eastAsia="楷体"/>
          <w:sz w:val="32"/>
          <w:szCs w:val="32"/>
        </w:rPr>
        <w:t>.</w:t>
      </w:r>
      <w:r>
        <w:rPr>
          <w:rFonts w:hint="eastAsia" w:ascii="楷体" w:hAnsi="楷体" w:eastAsia="楷体"/>
          <w:sz w:val="32"/>
          <w:szCs w:val="32"/>
        </w:rPr>
        <w:t>收入情况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2022年度收入合计2496.00万元,其中：财政拨款收入2496.00万元,占100.00%。</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3</w:t>
      </w:r>
      <w:r>
        <w:rPr>
          <w:rFonts w:ascii="楷体" w:hAnsi="楷体" w:eastAsia="楷体"/>
          <w:sz w:val="32"/>
          <w:szCs w:val="32"/>
        </w:rPr>
        <w:t>.</w:t>
      </w:r>
      <w:r>
        <w:rPr>
          <w:rFonts w:hint="eastAsia" w:ascii="楷体" w:hAnsi="楷体" w:eastAsia="楷体"/>
          <w:sz w:val="32"/>
          <w:szCs w:val="32"/>
        </w:rPr>
        <w:t>支出情况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2022年度支出合计2496.00万元,其中：基本支出2496.00万元,占100.00%。</w:t>
      </w:r>
    </w:p>
    <w:p>
      <w:pPr>
        <w:spacing w:line="56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财政拨款收入支出总体情况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2022年度财政拨款收、支总计均为2496.00万元。与上年相比,各减少175.73万元,下降6.58%。原因是学校布局调整后，教师人数和学生人数减少，公用经费和人员经费随之减少。</w:t>
      </w:r>
    </w:p>
    <w:p>
      <w:pPr>
        <w:spacing w:line="560" w:lineRule="exact"/>
        <w:ind w:firstLine="640" w:firstLineChars="200"/>
        <w:rPr>
          <w:rFonts w:ascii="楷体" w:hAnsi="楷体" w:eastAsia="楷体"/>
          <w:sz w:val="32"/>
          <w:szCs w:val="32"/>
        </w:rPr>
      </w:pPr>
      <w:r>
        <w:rPr>
          <w:rFonts w:ascii="楷体" w:hAnsi="楷体" w:eastAsia="楷体"/>
          <w:sz w:val="32"/>
          <w:szCs w:val="32"/>
        </w:rPr>
        <w:t>5.</w:t>
      </w:r>
      <w:r>
        <w:rPr>
          <w:rFonts w:hint="eastAsia" w:ascii="楷体" w:hAnsi="楷体" w:eastAsia="楷体"/>
          <w:sz w:val="32"/>
          <w:szCs w:val="32"/>
        </w:rPr>
        <w:t>一般公共预算财政拨款支出情况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2022年度一般公共预算财政拨款支出2496.00万元,较上年决算数减少175.73万元,下降6.58%。原因是学校布局调整后，教师人数和学生人数减少，公用经费和人员经费随之减少。主要用于以下几个方面：</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bCs/>
          <w:sz w:val="32"/>
          <w:szCs w:val="32"/>
        </w:rPr>
        <w:t>（1）教育支出年初预算数为1563.58万元,支出决算为2186.08万元,完成年初预算的139.8</w:t>
      </w:r>
      <w:r>
        <w:rPr>
          <w:rFonts w:hint="eastAsia" w:ascii="仿宋_GB2312" w:eastAsia="仿宋_GB2312" w:hAnsiTheme="minorEastAsia"/>
          <w:sz w:val="32"/>
          <w:szCs w:val="32"/>
        </w:rPr>
        <w:t>1%,决算数大于预算数的主要原因是年末追加当年正常晋升、岗位变动、工资调标及退休人员医疗保险、增加退休死亡的抚恤金等。因此形成决算数大于预算数的情况充。</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bCs/>
          <w:sz w:val="32"/>
          <w:szCs w:val="32"/>
        </w:rPr>
        <w:t>（2））文化旅游体育与传媒支出</w:t>
      </w:r>
      <w:r>
        <w:rPr>
          <w:rFonts w:hint="eastAsia" w:ascii="仿宋_GB2312" w:eastAsia="仿宋_GB2312" w:hAnsiTheme="minorEastAsia"/>
          <w:sz w:val="32"/>
          <w:szCs w:val="32"/>
        </w:rPr>
        <w:t>年初预算数为0.00万元,支出决算为0.90万元,完成年初预算的%,决算数大于预算数的主要原因是年内学校教学楼楼道文化建设费用增加。</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bCs/>
          <w:sz w:val="32"/>
          <w:szCs w:val="32"/>
        </w:rPr>
        <w:t>（3）社会保障和就业支出年</w:t>
      </w:r>
      <w:r>
        <w:rPr>
          <w:rFonts w:hint="eastAsia" w:ascii="仿宋_GB2312" w:eastAsia="仿宋_GB2312" w:hAnsiTheme="minorEastAsia"/>
          <w:sz w:val="32"/>
          <w:szCs w:val="32"/>
        </w:rPr>
        <w:t>初预算数为199.36万元,支出决算为223.33万元,完成年初预算的112.02%,决算数大于预算数的主要原因是年内正常晋升薪级工资、工资调标、部分教师中途提高岗位等级,社保缴费增加, 增加退休死亡的抚恤金等。</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bCs/>
          <w:sz w:val="32"/>
          <w:szCs w:val="32"/>
        </w:rPr>
        <w:t>（4）卫生健康支出</w:t>
      </w:r>
      <w:r>
        <w:rPr>
          <w:rFonts w:hint="eastAsia" w:ascii="仿宋_GB2312" w:eastAsia="仿宋_GB2312" w:hAnsiTheme="minorEastAsia"/>
          <w:sz w:val="32"/>
          <w:szCs w:val="32"/>
        </w:rPr>
        <w:t>年初预算数为78.99万元,支出决算为85.69万元,完成年初预算的108.48%,决算数大于预算数的主要原因是年内正常晋升薪级工资、工资调标、部分教师中途提高岗位等级后，教职工基本养老保险费增加。</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（5）一般公共预算财政拨款基本支出情况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2022年度一般公共预算财政拨款基本支出2496.00万元。其中：</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bCs/>
          <w:sz w:val="32"/>
          <w:szCs w:val="32"/>
        </w:rPr>
        <w:t>人员经费23</w:t>
      </w:r>
      <w:r>
        <w:rPr>
          <w:rFonts w:hint="eastAsia" w:ascii="仿宋_GB2312" w:eastAsia="仿宋_GB2312" w:hAnsiTheme="minorEastAsia"/>
          <w:sz w:val="32"/>
          <w:szCs w:val="32"/>
        </w:rPr>
        <w:t>45.01万元,较上年决算数增加59.39万元,增长2.6%,主要原因是年内正常晋升薪级工资、工资调标、部分教师中途提高岗位等级,社保缴费增加, 增加退休死亡的抚恤金等。人员经费用途主要包括基本工资880.85万元，津贴补贴326.34万元，奖金327.06万元，绩效工资313.80万元，机关事业单位基本养老保险缴费105.75万元，职工基本医疗保险缴费130.43万元，公务员医疗补助缴费25.77万元，其他社会保障缴费12.57万元，对个人和家庭的补助222.96万元。</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bCs/>
          <w:sz w:val="32"/>
          <w:szCs w:val="32"/>
        </w:rPr>
        <w:t>公用经费150.99万元,较</w:t>
      </w:r>
      <w:r>
        <w:rPr>
          <w:rFonts w:hint="eastAsia" w:ascii="仿宋_GB2312" w:eastAsia="仿宋_GB2312" w:hAnsiTheme="minorEastAsia"/>
          <w:sz w:val="32"/>
          <w:szCs w:val="32"/>
        </w:rPr>
        <w:t>上年决算数减少72.7万元,下降32.5%,主要原因是学校布局调整后教职工人数、学生人数减少，办公费开支随之减少。公用经费用途主要包括办公费4.699万元，印刷费6.48万元，咨询费0.22万元，手续费0.2万元，水费3.30万元，电费17.01万元，邮电费0.58万元，取暖费26.40万元，物业管理费36.48万元，差旅费0.875万元，维修（护）费30.085万元，租赁费0.25万元，会议费0.12万元，培训费7.68万元，专用材料0.24万元，专用燃料费0.68万元， 劳务费2.82万元，工会经费1.80万元，教职工福利费7.50万元。</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三．部门整体支出绩效情况</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根据预算绩效管理要求,本部门对2022年度一般公共预算项目支出全面开展绩效自评,从评价情况来看，本部门按照《甘州区区级预算绩效管理工作规程》、《甘州区区级部门预算项目事前绩效评估管理办法》、《甘州区区级部门预算绩效目标管理办法》、《甘州区区级部门预算绩效运行监控管理办法》、《甘州区区级项目支出绩效单位自评工作规程》、《甘州区区级项目支出绩效财政评价和部门评价工作规程》等6个办法和规程，认真落实区财政局有关预算绩效目标管理的有关规定，并制定了《甘州区沙井镇中心学校预算绩效管理暂行办法》、《甘州区沙井镇中心学校预算绩效目标管理工作实施细则》和甘州区沙井镇中心学校预算绩效目标管理工作领导小组及职责，对整个预算绩效管理过程开展了部门整体绩效自评工作。</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20</w:t>
      </w:r>
      <w:r>
        <w:rPr>
          <w:rFonts w:ascii="仿宋_GB2312" w:eastAsia="仿宋_GB2312" w:hAnsiTheme="minorEastAsia"/>
          <w:bCs/>
          <w:sz w:val="32"/>
          <w:szCs w:val="32"/>
        </w:rPr>
        <w:t>22</w:t>
      </w:r>
      <w:r>
        <w:rPr>
          <w:rFonts w:hint="eastAsia" w:ascii="仿宋_GB2312" w:eastAsia="仿宋_GB2312" w:hAnsiTheme="minorEastAsia"/>
          <w:bCs/>
          <w:sz w:val="32"/>
          <w:szCs w:val="32"/>
        </w:rPr>
        <w:t>年以来，我校始终坚持“教育为本”的原则，在市委</w:t>
      </w:r>
      <w:r>
        <w:rPr>
          <w:rFonts w:hint="eastAsia" w:ascii="仿宋_GB2312" w:eastAsia="仿宋_GB2312" w:hAnsiTheme="minorEastAsia"/>
          <w:bCs/>
          <w:sz w:val="32"/>
          <w:szCs w:val="32"/>
          <w:lang w:eastAsia="zh-CN"/>
        </w:rPr>
        <w:t>、</w:t>
      </w:r>
      <w:r>
        <w:rPr>
          <w:rFonts w:hint="eastAsia" w:ascii="仿宋_GB2312" w:eastAsia="仿宋_GB2312" w:hAnsiTheme="minorEastAsia"/>
          <w:bCs/>
          <w:sz w:val="32"/>
          <w:szCs w:val="32"/>
        </w:rPr>
        <w:t>市政府及各部门的关心支持下，在全校教职工的共同努力下，深入贯彻党的二十大精神，围绕中心，服务大局，全面加强党的建设，协同推进教学培训、宣传宣讲、乡村振兴等各项工作，并取得了一定的进步和成绩。</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2022年度部门</w:t>
      </w:r>
      <w:bookmarkStart w:id="0" w:name="_Hlk151694509"/>
      <w:r>
        <w:rPr>
          <w:rFonts w:hint="eastAsia" w:ascii="仿宋_GB2312" w:eastAsia="仿宋_GB2312" w:hAnsiTheme="minorEastAsia"/>
          <w:bCs/>
          <w:sz w:val="32"/>
          <w:szCs w:val="32"/>
        </w:rPr>
        <w:t>对生均公用经费、</w:t>
      </w:r>
      <w:bookmarkStart w:id="1" w:name="_Hlk151694234"/>
      <w:r>
        <w:rPr>
          <w:rFonts w:hint="eastAsia" w:ascii="仿宋_GB2312" w:eastAsia="仿宋_GB2312" w:hAnsiTheme="minorEastAsia"/>
          <w:bCs/>
          <w:sz w:val="32"/>
          <w:szCs w:val="32"/>
        </w:rPr>
        <w:t>家庭经济困难寄宿学生补助</w:t>
      </w:r>
      <w:bookmarkEnd w:id="1"/>
      <w:r>
        <w:rPr>
          <w:rFonts w:hint="eastAsia" w:ascii="仿宋_GB2312" w:eastAsia="仿宋_GB2312" w:hAnsiTheme="minorEastAsia"/>
          <w:bCs/>
          <w:sz w:val="32"/>
          <w:szCs w:val="32"/>
        </w:rPr>
        <w:t>、家庭经济困难非寄宿学生补助、残疾儿童学习用品补助、班主任津贴、营养餐改善计划受益补助、乡村教师生活补助、乡村教师交通补助、双岗教师补助</w:t>
      </w:r>
      <w:bookmarkEnd w:id="0"/>
      <w:r>
        <w:rPr>
          <w:rFonts w:hint="eastAsia" w:ascii="仿宋_GB2312" w:eastAsia="仿宋_GB2312" w:hAnsiTheme="minorEastAsia"/>
          <w:bCs/>
          <w:sz w:val="32"/>
          <w:szCs w:val="32"/>
        </w:rPr>
        <w:t>等项目绩效进行自评。根据年初设定的绩效目标,项目绩效自评得分为</w:t>
      </w:r>
      <w:r>
        <w:rPr>
          <w:rFonts w:ascii="仿宋_GB2312" w:eastAsia="仿宋_GB2312" w:hAnsiTheme="minorEastAsia"/>
          <w:bCs/>
          <w:sz w:val="32"/>
          <w:szCs w:val="32"/>
        </w:rPr>
        <w:t>98</w:t>
      </w:r>
      <w:r>
        <w:rPr>
          <w:rFonts w:hint="eastAsia" w:ascii="仿宋_GB2312" w:eastAsia="仿宋_GB2312" w:hAnsiTheme="minorEastAsia"/>
          <w:bCs/>
          <w:sz w:val="32"/>
          <w:szCs w:val="32"/>
        </w:rPr>
        <w:t>分。项目全年预算数为</w:t>
      </w:r>
      <w:r>
        <w:rPr>
          <w:rFonts w:ascii="仿宋_GB2312" w:eastAsia="仿宋_GB2312" w:hAnsiTheme="minorEastAsia"/>
          <w:bCs/>
          <w:sz w:val="32"/>
          <w:szCs w:val="32"/>
        </w:rPr>
        <w:t>2496</w:t>
      </w:r>
      <w:r>
        <w:rPr>
          <w:rFonts w:hint="eastAsia" w:ascii="仿宋_GB2312" w:eastAsia="仿宋_GB2312" w:hAnsiTheme="minorEastAsia"/>
          <w:bCs/>
          <w:sz w:val="32"/>
          <w:szCs w:val="32"/>
        </w:rPr>
        <w:t>万元,执行数为</w:t>
      </w:r>
      <w:r>
        <w:rPr>
          <w:rFonts w:ascii="仿宋_GB2312" w:eastAsia="仿宋_GB2312" w:hAnsiTheme="minorEastAsia"/>
          <w:bCs/>
          <w:sz w:val="32"/>
          <w:szCs w:val="32"/>
        </w:rPr>
        <w:t>2496</w:t>
      </w:r>
      <w:r>
        <w:rPr>
          <w:rFonts w:hint="eastAsia" w:ascii="仿宋_GB2312" w:eastAsia="仿宋_GB2312" w:hAnsiTheme="minorEastAsia"/>
          <w:bCs/>
          <w:sz w:val="32"/>
          <w:szCs w:val="32"/>
        </w:rPr>
        <w:t>万元,完成预算的</w:t>
      </w:r>
      <w:r>
        <w:rPr>
          <w:rFonts w:ascii="仿宋_GB2312" w:eastAsia="仿宋_GB2312" w:hAnsiTheme="minorEastAsia"/>
          <w:bCs/>
          <w:sz w:val="32"/>
          <w:szCs w:val="32"/>
        </w:rPr>
        <w:t>100</w:t>
      </w:r>
      <w:r>
        <w:rPr>
          <w:rFonts w:hint="eastAsia" w:ascii="仿宋_GB2312" w:eastAsia="仿宋_GB2312" w:hAnsiTheme="minorEastAsia"/>
          <w:bCs/>
          <w:sz w:val="32"/>
          <w:szCs w:val="32"/>
        </w:rPr>
        <w:t>%。</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自评过程中发现的主要问题及原因：一是预算编制工作有待细化；二是预算编制不够明确和细化；三是预算编制的合理性需要提高；四是预算执行力度还要进一步加强。下一步改进措施：一是切实做好预算编制工作，做好本单位情况调查，仔细测算部门资金需求，努力使预算资金合理；二是进一步建立健全财务制度，规范财务管理，加强绩效评价管理评价的可操作性，对相关业务人员进行相关培训，以提高业务知识水平。</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从履职及履职效益情况来看，总体效果比较好。从经济性来看，各负责部门能够按照预算来抓好成本控制，强化勤俭办事的意识，注重节约开支，年度开支控制在财政局规定的范围内;从效率性来看，各部门对所承担的工作能够按照计划的时间把握进度，抓好质量，注重了工作的效率;从有效性来看，各专项工作的分工负责部门均能够按照制度和各自的目标来抓好落实，注重了专项资金的使用效果;从可持续性来看，后续的政策、相关的配套资金、必要的人员机构要继续保持，管理制度做到与时俱进，相关内容进行了及时补充完善。</w:t>
      </w:r>
    </w:p>
    <w:p>
      <w:pPr>
        <w:spacing w:line="560" w:lineRule="exact"/>
        <w:ind w:firstLine="643" w:firstLineChars="200"/>
        <w:rPr>
          <w:rFonts w:ascii="黑体" w:hAnsi="黑体" w:eastAsia="黑体"/>
          <w:bCs/>
          <w:sz w:val="32"/>
          <w:szCs w:val="32"/>
        </w:rPr>
      </w:pPr>
      <w:r>
        <w:rPr>
          <w:rFonts w:hint="eastAsia" w:ascii="黑体" w:hAnsi="黑体" w:eastAsia="黑体"/>
          <w:b/>
          <w:bCs/>
          <w:sz w:val="32"/>
          <w:szCs w:val="32"/>
        </w:rPr>
        <w:t>四、综合评价情况及评价结论</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通过开展绩效评价，促进部门从整体上提升预算绩效管理工作水平，强化部门支出责任，规范资金管理行为，提高财政资金使用效益，保障部门更好地履行职责，使财政资金通过部门行使其职能，服务社会、群众变得更有效益和效率，为此，我校按照相关要求开展以下工作：</w:t>
      </w:r>
    </w:p>
    <w:p>
      <w:pPr>
        <w:spacing w:line="560" w:lineRule="exact"/>
        <w:ind w:firstLine="640" w:firstLineChars="200"/>
        <w:rPr>
          <w:rFonts w:ascii="仿宋_GB2312" w:eastAsia="仿宋_GB2312" w:hAnsiTheme="minorEastAsia"/>
          <w:bCs/>
          <w:sz w:val="32"/>
          <w:szCs w:val="32"/>
        </w:rPr>
      </w:pPr>
      <w:r>
        <w:rPr>
          <w:rFonts w:ascii="仿宋_GB2312" w:eastAsia="仿宋_GB2312" w:hAnsiTheme="minorEastAsia"/>
          <w:bCs/>
          <w:sz w:val="32"/>
          <w:szCs w:val="32"/>
        </w:rPr>
        <w:t>1.</w:t>
      </w:r>
      <w:r>
        <w:rPr>
          <w:rFonts w:hint="eastAsia" w:ascii="仿宋_GB2312" w:eastAsia="仿宋_GB2312" w:hAnsiTheme="minorEastAsia"/>
          <w:bCs/>
          <w:sz w:val="32"/>
          <w:szCs w:val="32"/>
        </w:rPr>
        <w:t>精心组织抓好落实。我单位及时召开相关人员专题会议，确定评价内容、评价小组成员、制作问卷调查的对象与范围，下发我校本级财政资金绩效自评工作的通知。</w:t>
      </w:r>
    </w:p>
    <w:p>
      <w:pPr>
        <w:spacing w:line="560" w:lineRule="exact"/>
        <w:ind w:firstLine="640" w:firstLineChars="200"/>
        <w:rPr>
          <w:rFonts w:ascii="仿宋_GB2312" w:eastAsia="仿宋_GB2312" w:hAnsiTheme="minorEastAsia"/>
          <w:bCs/>
          <w:sz w:val="32"/>
          <w:szCs w:val="32"/>
        </w:rPr>
      </w:pPr>
      <w:r>
        <w:rPr>
          <w:rFonts w:ascii="仿宋_GB2312" w:eastAsia="仿宋_GB2312" w:hAnsiTheme="minorEastAsia"/>
          <w:bCs/>
          <w:sz w:val="32"/>
          <w:szCs w:val="32"/>
        </w:rPr>
        <w:t>2.</w:t>
      </w:r>
      <w:r>
        <w:rPr>
          <w:rFonts w:hint="eastAsia" w:ascii="仿宋_GB2312" w:eastAsia="仿宋_GB2312" w:hAnsiTheme="minorEastAsia"/>
          <w:bCs/>
          <w:sz w:val="32"/>
          <w:szCs w:val="32"/>
        </w:rPr>
        <w:t>加强管理，强化机制运行。我校财政资金绩效自评工作小组人员严格按照上级部门的评价要求结合我校实际情况开展自评工作，并对资料对的真实性、合法合规及效果实地进行问卷调查，一是对本单位内部职工发放50份，收回调查问卷50份，进行了社会公众的满意度调查，二是召开本单位及系统临时机构相关人员座谈会，进行问卷调查，同时充分听取他们的意见和建议。</w:t>
      </w:r>
    </w:p>
    <w:p>
      <w:pPr>
        <w:spacing w:line="560" w:lineRule="exact"/>
        <w:ind w:firstLine="640" w:firstLineChars="200"/>
        <w:rPr>
          <w:rFonts w:ascii="仿宋_GB2312" w:eastAsia="仿宋_GB2312" w:hAnsiTheme="minorEastAsia"/>
          <w:bCs/>
          <w:sz w:val="32"/>
          <w:szCs w:val="32"/>
        </w:rPr>
      </w:pPr>
      <w:r>
        <w:rPr>
          <w:rFonts w:ascii="仿宋_GB2312" w:eastAsia="仿宋_GB2312" w:hAnsiTheme="minorEastAsia"/>
          <w:bCs/>
          <w:sz w:val="32"/>
          <w:szCs w:val="32"/>
        </w:rPr>
        <w:t>3.</w:t>
      </w:r>
      <w:r>
        <w:rPr>
          <w:rFonts w:hint="eastAsia" w:ascii="仿宋_GB2312" w:eastAsia="仿宋_GB2312" w:hAnsiTheme="minorEastAsia"/>
          <w:bCs/>
          <w:sz w:val="32"/>
          <w:szCs w:val="32"/>
        </w:rPr>
        <w:t>综合分析并形成评价结；</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通过审计支出费用，收集资料，问卷调查和多次信息反馈，确认了整体支出绩效指标评分，并对各项指标数据进行认真核准，我校本级财政资金绩效自评工作最终形成整体支出评价结论：评分等级为优，财政资金绩效自评分数为</w:t>
      </w:r>
      <w:r>
        <w:rPr>
          <w:rFonts w:ascii="仿宋_GB2312" w:eastAsia="仿宋_GB2312" w:hAnsiTheme="minorEastAsia"/>
          <w:bCs/>
          <w:sz w:val="32"/>
          <w:szCs w:val="32"/>
        </w:rPr>
        <w:t>98</w:t>
      </w:r>
      <w:r>
        <w:rPr>
          <w:rFonts w:hint="eastAsia" w:ascii="仿宋_GB2312" w:eastAsia="仿宋_GB2312" w:hAnsiTheme="minorEastAsia"/>
          <w:bCs/>
          <w:sz w:val="32"/>
          <w:szCs w:val="32"/>
        </w:rPr>
        <w:t>分。</w:t>
      </w:r>
    </w:p>
    <w:p>
      <w:pPr>
        <w:spacing w:line="560" w:lineRule="exact"/>
        <w:ind w:firstLine="643" w:firstLineChars="200"/>
        <w:rPr>
          <w:rFonts w:ascii="黑体" w:hAnsi="黑体" w:eastAsia="黑体"/>
          <w:bCs/>
          <w:sz w:val="32"/>
          <w:szCs w:val="32"/>
        </w:rPr>
      </w:pPr>
      <w:r>
        <w:rPr>
          <w:rFonts w:hint="eastAsia" w:ascii="黑体" w:hAnsi="黑体" w:eastAsia="黑体"/>
          <w:b/>
          <w:bCs/>
          <w:sz w:val="32"/>
          <w:szCs w:val="32"/>
        </w:rPr>
        <w:t>五、今后工作的有关建议</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1</w:t>
      </w:r>
      <w:r>
        <w:rPr>
          <w:rFonts w:ascii="仿宋_GB2312" w:eastAsia="仿宋_GB2312" w:hAnsiTheme="minorEastAsia"/>
          <w:bCs/>
          <w:sz w:val="32"/>
          <w:szCs w:val="32"/>
        </w:rPr>
        <w:t>.</w:t>
      </w:r>
      <w:r>
        <w:rPr>
          <w:rFonts w:hint="eastAsia" w:ascii="仿宋_GB2312" w:eastAsia="仿宋_GB2312" w:hAnsiTheme="minorEastAsia"/>
          <w:bCs/>
          <w:sz w:val="32"/>
          <w:szCs w:val="32"/>
        </w:rPr>
        <w:t>进一步规范财政资金管理，强化各处室、部门责任意识，做好财政资金预算决算管理工作，切实提高财政资金使用效益，通过组织培训、会议、专业人士授课等方式不断提升我校全体教职工及财政资金绩效自评工作小组人员的评价知识和能力，确保绩效评价的科学性和准确性。</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2</w:t>
      </w:r>
      <w:r>
        <w:rPr>
          <w:rFonts w:ascii="仿宋_GB2312" w:eastAsia="仿宋_GB2312" w:hAnsiTheme="minorEastAsia"/>
          <w:bCs/>
          <w:sz w:val="32"/>
          <w:szCs w:val="32"/>
        </w:rPr>
        <w:t>.</w:t>
      </w:r>
      <w:r>
        <w:rPr>
          <w:rFonts w:hint="eastAsia" w:ascii="仿宋_GB2312" w:eastAsia="仿宋_GB2312" w:hAnsiTheme="minorEastAsia"/>
          <w:bCs/>
          <w:sz w:val="32"/>
          <w:szCs w:val="32"/>
        </w:rPr>
        <w:t>进一步贯彻落实相关精神,提升教育培训实效。切实发挥我校自身优势，严格按照相关规定开展工作，统筹用好各种资源，切实加强队伍建设，不断提升教育培训实效，打造党性教育精品课程，提高办学质量和水平。</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3</w:t>
      </w:r>
      <w:r>
        <w:rPr>
          <w:rFonts w:ascii="仿宋_GB2312" w:eastAsia="仿宋_GB2312" w:hAnsiTheme="minorEastAsia"/>
          <w:bCs/>
          <w:sz w:val="32"/>
          <w:szCs w:val="32"/>
        </w:rPr>
        <w:t>.</w:t>
      </w:r>
      <w:r>
        <w:rPr>
          <w:rFonts w:hint="eastAsia" w:ascii="仿宋_GB2312" w:eastAsia="仿宋_GB2312" w:hAnsiTheme="minorEastAsia"/>
          <w:bCs/>
          <w:sz w:val="32"/>
          <w:szCs w:val="32"/>
        </w:rPr>
        <w:t>进一步加大教研力度，致力咨政决策工作。今后将进一步突出教研工作的地位和作用，加大对教研工作的支持力度，调动专兼职教师的积极性，继续围绕教育中心工作出高质量的教学成果，不断提升教学水平和质量。</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4</w:t>
      </w:r>
      <w:r>
        <w:rPr>
          <w:rFonts w:ascii="仿宋_GB2312" w:eastAsia="仿宋_GB2312" w:hAnsiTheme="minorEastAsia"/>
          <w:bCs/>
          <w:sz w:val="32"/>
          <w:szCs w:val="32"/>
        </w:rPr>
        <w:t>.</w:t>
      </w:r>
      <w:r>
        <w:rPr>
          <w:rFonts w:hint="eastAsia" w:ascii="仿宋_GB2312" w:eastAsia="仿宋_GB2312" w:hAnsiTheme="minorEastAsia"/>
          <w:bCs/>
          <w:sz w:val="32"/>
          <w:szCs w:val="32"/>
        </w:rPr>
        <w:t>进一步加强后勤服务保障，提高办学质量水平。树立“以人为本”理念，在管理中主动服务,在服务中加强管理。在主动服务的过程中了解师生的现状和需求,发现问题,及时解决，提高服务水平。同时通过提供周到的服务,为师生学习发展创造条件,从而实现管理目标。</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5</w:t>
      </w:r>
      <w:r>
        <w:rPr>
          <w:rFonts w:ascii="仿宋_GB2312" w:eastAsia="仿宋_GB2312" w:hAnsiTheme="minorEastAsia"/>
          <w:bCs/>
          <w:sz w:val="32"/>
          <w:szCs w:val="32"/>
        </w:rPr>
        <w:t>.</w:t>
      </w:r>
      <w:r>
        <w:rPr>
          <w:rFonts w:hint="eastAsia" w:ascii="仿宋_GB2312" w:eastAsia="仿宋_GB2312" w:hAnsiTheme="minorEastAsia"/>
          <w:bCs/>
          <w:sz w:val="32"/>
          <w:szCs w:val="32"/>
        </w:rPr>
        <w:t>进一步推进校园文化建设。结合党史的学习教育，推进红色文化进校园活动,努力创设氛围，陶冶师生情操，全面提高师生素质。坚持教育为本,传达党的声音,践行党的宗旨,服务党的工作大局,以期全面提升我校综合竞争力和核心竞争力。</w:t>
      </w:r>
    </w:p>
    <w:p>
      <w:pPr>
        <w:spacing w:line="560" w:lineRule="exact"/>
        <w:ind w:firstLine="643" w:firstLineChars="200"/>
        <w:rPr>
          <w:rFonts w:ascii="仿宋_GB2312" w:hAnsi="黑体" w:eastAsia="仿宋_GB2312"/>
          <w:sz w:val="32"/>
          <w:szCs w:val="32"/>
        </w:rPr>
      </w:pPr>
      <w:r>
        <w:rPr>
          <w:rFonts w:hint="eastAsia" w:ascii="仿宋_GB2312" w:eastAsia="仿宋_GB2312" w:hAnsiTheme="minorEastAsia"/>
          <w:b/>
          <w:bCs/>
          <w:sz w:val="32"/>
          <w:szCs w:val="32"/>
        </w:rPr>
        <w:t xml:space="preserve">  </w:t>
      </w:r>
      <w:bookmarkStart w:id="2" w:name="_Hlk150932867"/>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zh-CN"/>
        </w:rPr>
        <w:drawing>
          <wp:anchor distT="0" distB="0" distL="114300" distR="114300" simplePos="0" relativeHeight="251660288" behindDoc="1" locked="0" layoutInCell="1" allowOverlap="1">
            <wp:simplePos x="0" y="0"/>
            <wp:positionH relativeFrom="column">
              <wp:posOffset>3143250</wp:posOffset>
            </wp:positionH>
            <wp:positionV relativeFrom="paragraph">
              <wp:posOffset>13970</wp:posOffset>
            </wp:positionV>
            <wp:extent cx="1417320" cy="1468755"/>
            <wp:effectExtent l="0" t="0" r="0" b="0"/>
            <wp:wrapNone/>
            <wp:docPr id="16532993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9934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320" cy="1468755"/>
                    </a:xfrm>
                    <a:prstGeom prst="rect">
                      <a:avLst/>
                    </a:prstGeom>
                  </pic:spPr>
                </pic:pic>
              </a:graphicData>
            </a:graphic>
          </wp:anchor>
        </w:drawing>
      </w:r>
    </w:p>
    <w:p>
      <w:pPr>
        <w:spacing w:line="560" w:lineRule="exact"/>
        <w:ind w:firstLine="4480" w:firstLineChars="1400"/>
        <w:rPr>
          <w:rFonts w:ascii="仿宋_GB2312" w:hAnsi="黑体" w:eastAsia="仿宋_GB2312"/>
          <w:sz w:val="32"/>
          <w:szCs w:val="32"/>
        </w:rPr>
      </w:pPr>
      <w:r>
        <w:rPr>
          <w:rFonts w:hint="eastAsia" w:ascii="仿宋_GB2312" w:hAnsi="黑体" w:eastAsia="仿宋_GB2312"/>
          <w:sz w:val="32"/>
          <w:szCs w:val="32"/>
        </w:rPr>
        <w:t>甘州区沙井镇中心学校</w:t>
      </w:r>
    </w:p>
    <w:p>
      <w:pPr>
        <w:spacing w:line="560" w:lineRule="exact"/>
        <w:ind w:firstLine="4800" w:firstLineChars="15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023</w:t>
      </w:r>
      <w:r>
        <w:rPr>
          <w:rFonts w:hint="eastAsia" w:ascii="仿宋_GB2312" w:hAnsi="黑体" w:eastAsia="仿宋_GB2312"/>
          <w:sz w:val="32"/>
          <w:szCs w:val="32"/>
        </w:rPr>
        <w:t>年</w:t>
      </w:r>
      <w:r>
        <w:rPr>
          <w:rFonts w:ascii="仿宋_GB2312" w:hAnsi="黑体" w:eastAsia="仿宋_GB2312"/>
          <w:sz w:val="32"/>
          <w:szCs w:val="32"/>
        </w:rPr>
        <w:t>11</w:t>
      </w:r>
      <w:r>
        <w:rPr>
          <w:rFonts w:hint="eastAsia" w:ascii="仿宋_GB2312" w:hAnsi="黑体" w:eastAsia="仿宋_GB2312"/>
          <w:sz w:val="32"/>
          <w:szCs w:val="32"/>
        </w:rPr>
        <w:t>月</w:t>
      </w:r>
      <w:r>
        <w:rPr>
          <w:rFonts w:ascii="仿宋_GB2312" w:hAnsi="黑体" w:eastAsia="仿宋_GB2312"/>
          <w:sz w:val="32"/>
          <w:szCs w:val="32"/>
        </w:rPr>
        <w:t>20</w:t>
      </w:r>
      <w:r>
        <w:rPr>
          <w:rFonts w:hint="eastAsia" w:ascii="仿宋_GB2312" w:hAnsi="黑体" w:eastAsia="仿宋_GB2312"/>
          <w:sz w:val="32"/>
          <w:szCs w:val="32"/>
        </w:rPr>
        <w:t>日</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（此页无正文）</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hint="eastAsia" w:ascii="仿宋_GB2312" w:hAnsi="黑体" w:eastAsia="仿宋_GB2312"/>
          <w:sz w:val="32"/>
          <w:szCs w:val="32"/>
        </w:rPr>
      </w:pPr>
    </w:p>
    <w:bookmarkEnd w:id="2"/>
    <w:p>
      <w:pPr>
        <w:spacing w:line="600" w:lineRule="exact"/>
        <w:rPr>
          <w:rFonts w:ascii="楷体" w:hAnsi="楷体" w:eastAsia="楷体" w:cs="Times New Roman"/>
          <w:b/>
          <w:sz w:val="32"/>
          <w:szCs w:val="32"/>
          <w:u w:val="single"/>
        </w:rPr>
      </w:pPr>
      <w:r>
        <w:rPr>
          <w:rFonts w:hint="eastAsia" w:ascii="楷体" w:hAnsi="楷体" w:eastAsia="楷体" w:cs="Times New Roman"/>
          <w:sz w:val="32"/>
          <w:szCs w:val="32"/>
          <w:u w:val="single"/>
        </w:rPr>
        <w:t>公开属性：主动公开</w:t>
      </w:r>
      <w:r>
        <w:rPr>
          <w:rFonts w:hint="eastAsia" w:ascii="楷体" w:hAnsi="楷体" w:eastAsia="楷体" w:cs="Times New Roman"/>
          <w:b/>
          <w:sz w:val="32"/>
          <w:szCs w:val="32"/>
          <w:u w:val="single"/>
        </w:rPr>
        <w:t xml:space="preserve"> </w:t>
      </w:r>
      <w:r>
        <w:rPr>
          <w:rFonts w:ascii="楷体" w:hAnsi="楷体" w:eastAsia="楷体" w:cs="Times New Roman"/>
          <w:b/>
          <w:sz w:val="32"/>
          <w:szCs w:val="32"/>
          <w:u w:val="single"/>
        </w:rPr>
        <w:t xml:space="preserve">      </w:t>
      </w:r>
      <w:r>
        <w:rPr>
          <w:rFonts w:hint="eastAsia" w:ascii="楷体" w:hAnsi="楷体" w:eastAsia="楷体" w:cs="Times New Roman"/>
          <w:b/>
          <w:sz w:val="32"/>
          <w:szCs w:val="32"/>
          <w:u w:val="single"/>
        </w:rPr>
        <w:t xml:space="preserve">           </w:t>
      </w:r>
      <w:r>
        <w:rPr>
          <w:rFonts w:ascii="楷体" w:hAnsi="楷体" w:eastAsia="楷体" w:cs="Times New Roman"/>
          <w:b/>
          <w:sz w:val="32"/>
          <w:szCs w:val="32"/>
          <w:u w:val="single"/>
        </w:rPr>
        <w:t xml:space="preserve">   </w:t>
      </w:r>
      <w:r>
        <w:rPr>
          <w:rFonts w:hint="eastAsia" w:ascii="楷体" w:hAnsi="楷体" w:eastAsia="楷体" w:cs="Times New Roman"/>
          <w:b/>
          <w:sz w:val="32"/>
          <w:szCs w:val="32"/>
          <w:u w:val="single"/>
        </w:rPr>
        <w:t xml:space="preserve">             </w:t>
      </w:r>
    </w:p>
    <w:p>
      <w:pPr>
        <w:spacing w:line="560" w:lineRule="exact"/>
        <w:rPr>
          <w:rFonts w:ascii="楷体" w:hAnsi="楷体" w:eastAsia="楷体"/>
          <w:sz w:val="32"/>
          <w:szCs w:val="32"/>
        </w:rPr>
      </w:pPr>
      <w:r>
        <w:rPr>
          <w:rFonts w:hint="eastAsia" w:ascii="楷体" w:hAnsi="楷体" w:eastAsia="楷体" w:cs="Times New Roman"/>
          <w:b/>
          <w:sz w:val="32"/>
          <w:szCs w:val="32"/>
          <w:u w:val="single"/>
        </w:rPr>
        <w:t xml:space="preserve">甘州区沙井镇中心学校     </w:t>
      </w:r>
      <w:r>
        <w:rPr>
          <w:rFonts w:ascii="楷体" w:hAnsi="楷体" w:eastAsia="楷体" w:cs="Times New Roman"/>
          <w:b/>
          <w:sz w:val="32"/>
          <w:szCs w:val="32"/>
          <w:u w:val="single"/>
        </w:rPr>
        <w:t xml:space="preserve">     </w:t>
      </w:r>
      <w:r>
        <w:rPr>
          <w:rFonts w:hint="eastAsia" w:ascii="楷体" w:hAnsi="楷体" w:eastAsia="楷体" w:cs="Times New Roman"/>
          <w:b/>
          <w:sz w:val="32"/>
          <w:szCs w:val="32"/>
          <w:u w:val="single"/>
        </w:rPr>
        <w:t xml:space="preserve"> </w:t>
      </w:r>
      <w:r>
        <w:rPr>
          <w:rFonts w:ascii="楷体" w:hAnsi="楷体" w:eastAsia="楷体" w:cs="Times New Roman"/>
          <w:b/>
          <w:sz w:val="32"/>
          <w:szCs w:val="32"/>
          <w:u w:val="single"/>
        </w:rPr>
        <w:t xml:space="preserve"> </w:t>
      </w:r>
      <w:r>
        <w:rPr>
          <w:rFonts w:hint="eastAsia" w:ascii="楷体" w:hAnsi="楷体" w:eastAsia="楷体" w:cs="Times New Roman"/>
          <w:b/>
          <w:sz w:val="32"/>
          <w:szCs w:val="32"/>
          <w:u w:val="single"/>
        </w:rPr>
        <w:t xml:space="preserve"> 20</w:t>
      </w:r>
      <w:r>
        <w:rPr>
          <w:rFonts w:ascii="楷体" w:hAnsi="楷体" w:eastAsia="楷体" w:cs="Times New Roman"/>
          <w:b/>
          <w:sz w:val="32"/>
          <w:szCs w:val="32"/>
          <w:u w:val="single"/>
        </w:rPr>
        <w:t>23</w:t>
      </w:r>
      <w:r>
        <w:rPr>
          <w:rFonts w:hint="eastAsia" w:ascii="楷体" w:hAnsi="楷体" w:eastAsia="楷体" w:cs="Times New Roman"/>
          <w:b/>
          <w:sz w:val="32"/>
          <w:szCs w:val="32"/>
          <w:u w:val="single"/>
        </w:rPr>
        <w:t>年</w:t>
      </w:r>
      <w:r>
        <w:rPr>
          <w:rFonts w:ascii="楷体" w:hAnsi="楷体" w:eastAsia="楷体" w:cs="Times New Roman"/>
          <w:b/>
          <w:sz w:val="32"/>
          <w:szCs w:val="32"/>
          <w:u w:val="single"/>
        </w:rPr>
        <w:t>11</w:t>
      </w:r>
      <w:r>
        <w:rPr>
          <w:rFonts w:hint="eastAsia" w:ascii="楷体" w:hAnsi="楷体" w:eastAsia="楷体" w:cs="Times New Roman"/>
          <w:b/>
          <w:sz w:val="32"/>
          <w:szCs w:val="32"/>
          <w:u w:val="single"/>
        </w:rPr>
        <w:t>月</w:t>
      </w:r>
      <w:r>
        <w:rPr>
          <w:rFonts w:ascii="楷体" w:hAnsi="楷体" w:eastAsia="楷体" w:cs="Times New Roman"/>
          <w:b/>
          <w:sz w:val="32"/>
          <w:szCs w:val="32"/>
          <w:u w:val="single"/>
        </w:rPr>
        <w:t>20</w:t>
      </w:r>
      <w:r>
        <w:rPr>
          <w:rFonts w:hint="eastAsia" w:ascii="楷体" w:hAnsi="楷体" w:eastAsia="楷体" w:cs="Times New Roman"/>
          <w:b/>
          <w:sz w:val="32"/>
          <w:szCs w:val="32"/>
          <w:u w:val="single"/>
        </w:rPr>
        <w:t>日印</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ZjkwOTNlMGVjMDI4N2U1MTdhMjFlMjVmYWJkNjUifQ=="/>
  </w:docVars>
  <w:rsids>
    <w:rsidRoot w:val="005F724A"/>
    <w:rsid w:val="00060234"/>
    <w:rsid w:val="000878EB"/>
    <w:rsid w:val="000A3706"/>
    <w:rsid w:val="000A701D"/>
    <w:rsid w:val="000E071F"/>
    <w:rsid w:val="000F1035"/>
    <w:rsid w:val="000F6C3B"/>
    <w:rsid w:val="00112B57"/>
    <w:rsid w:val="00136AF7"/>
    <w:rsid w:val="00164B4C"/>
    <w:rsid w:val="0016764E"/>
    <w:rsid w:val="00193BFB"/>
    <w:rsid w:val="001A6A19"/>
    <w:rsid w:val="001B1062"/>
    <w:rsid w:val="001B7708"/>
    <w:rsid w:val="001D3735"/>
    <w:rsid w:val="001D39C8"/>
    <w:rsid w:val="001D6618"/>
    <w:rsid w:val="002872A6"/>
    <w:rsid w:val="002C2925"/>
    <w:rsid w:val="0031175B"/>
    <w:rsid w:val="00333040"/>
    <w:rsid w:val="00385229"/>
    <w:rsid w:val="00394389"/>
    <w:rsid w:val="004235EC"/>
    <w:rsid w:val="00436DAD"/>
    <w:rsid w:val="00481446"/>
    <w:rsid w:val="004831FB"/>
    <w:rsid w:val="004E68B0"/>
    <w:rsid w:val="00521658"/>
    <w:rsid w:val="005620C3"/>
    <w:rsid w:val="00563BC6"/>
    <w:rsid w:val="005755BF"/>
    <w:rsid w:val="0058490F"/>
    <w:rsid w:val="005A5037"/>
    <w:rsid w:val="005C585F"/>
    <w:rsid w:val="005F724A"/>
    <w:rsid w:val="00640186"/>
    <w:rsid w:val="00675D33"/>
    <w:rsid w:val="00693996"/>
    <w:rsid w:val="0074493B"/>
    <w:rsid w:val="007460CA"/>
    <w:rsid w:val="007631DC"/>
    <w:rsid w:val="0078755B"/>
    <w:rsid w:val="007A0B90"/>
    <w:rsid w:val="007A3055"/>
    <w:rsid w:val="007C6977"/>
    <w:rsid w:val="00810D17"/>
    <w:rsid w:val="00820A31"/>
    <w:rsid w:val="00821F61"/>
    <w:rsid w:val="00822004"/>
    <w:rsid w:val="00831A40"/>
    <w:rsid w:val="00865DF6"/>
    <w:rsid w:val="00867FC0"/>
    <w:rsid w:val="008B659C"/>
    <w:rsid w:val="008C0CDD"/>
    <w:rsid w:val="00994010"/>
    <w:rsid w:val="00A24530"/>
    <w:rsid w:val="00AA4A34"/>
    <w:rsid w:val="00AB745E"/>
    <w:rsid w:val="00B56B9A"/>
    <w:rsid w:val="00B61633"/>
    <w:rsid w:val="00B70EF1"/>
    <w:rsid w:val="00B900BF"/>
    <w:rsid w:val="00B95410"/>
    <w:rsid w:val="00BC5D9C"/>
    <w:rsid w:val="00BE0D63"/>
    <w:rsid w:val="00BF4752"/>
    <w:rsid w:val="00C47E46"/>
    <w:rsid w:val="00C66B61"/>
    <w:rsid w:val="00CA0CA7"/>
    <w:rsid w:val="00D23B73"/>
    <w:rsid w:val="00D3330D"/>
    <w:rsid w:val="00D46D4A"/>
    <w:rsid w:val="00D570A5"/>
    <w:rsid w:val="00D6708D"/>
    <w:rsid w:val="00D97A48"/>
    <w:rsid w:val="00DF440D"/>
    <w:rsid w:val="00DF4FBF"/>
    <w:rsid w:val="00E273D9"/>
    <w:rsid w:val="00E378FE"/>
    <w:rsid w:val="00E57A39"/>
    <w:rsid w:val="00E71E88"/>
    <w:rsid w:val="00E843AA"/>
    <w:rsid w:val="00E85673"/>
    <w:rsid w:val="00E95D5A"/>
    <w:rsid w:val="00EA3C95"/>
    <w:rsid w:val="00EB5C5E"/>
    <w:rsid w:val="00ED1BE6"/>
    <w:rsid w:val="00EF3DC8"/>
    <w:rsid w:val="00F14B7F"/>
    <w:rsid w:val="00F236C9"/>
    <w:rsid w:val="00F24A23"/>
    <w:rsid w:val="00F3342D"/>
    <w:rsid w:val="00F334DF"/>
    <w:rsid w:val="00F571A9"/>
    <w:rsid w:val="00F769CD"/>
    <w:rsid w:val="00FC7EE7"/>
    <w:rsid w:val="00FF243D"/>
    <w:rsid w:val="6CC25C5E"/>
    <w:rsid w:val="721D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日期 字符"/>
    <w:basedOn w:val="6"/>
    <w:link w:val="2"/>
    <w:semiHidden/>
    <w:qFormat/>
    <w:uiPriority w:val="99"/>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A3774-1BD7-4934-AB02-B1446661344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702</Words>
  <Characters>4007</Characters>
  <Lines>33</Lines>
  <Paragraphs>9</Paragraphs>
  <TotalTime>7</TotalTime>
  <ScaleCrop>false</ScaleCrop>
  <LinksUpToDate>false</LinksUpToDate>
  <CharactersWithSpaces>4700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2023-11-23T23:30:00Z</dcterms:created>
  <dc:creator>Administrator</dc:creator>
  <cp:lastModifiedBy>沈克兵</cp:lastModifiedBy>
  <cp:lastPrinted>2023-11-24T05:46:00Z</cp:lastPrinted>
  <dcterms:modified xsi:type="dcterms:W3CDTF">2023-12-13T00:48:12Z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B6E2704C3EB44757B26AED70669609A3_12</vt:lpwstr>
  </property>
</Properties>
</file>