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cs="Times New Roman"/>
        </w:rPr>
      </w:pPr>
    </w:p>
    <w:p>
      <w:pPr>
        <w:spacing w:line="560" w:lineRule="exact"/>
        <w:jc w:val="center"/>
        <w:rPr>
          <w:rFonts w:hint="eastAsia" w:cs="Times New Roman"/>
        </w:rPr>
      </w:pPr>
    </w:p>
    <w:p>
      <w:pPr>
        <w:spacing w:line="560" w:lineRule="exact"/>
        <w:jc w:val="center"/>
        <w:rPr>
          <w:rFonts w:hint="eastAsia" w:cs="Times New Roma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甘州区商务局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22年度绩效自评工作总结</w:t>
      </w:r>
    </w:p>
    <w:p>
      <w:pPr>
        <w:pStyle w:val="3"/>
        <w:spacing w:line="500" w:lineRule="exact"/>
        <w:ind w:right="125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>
      <w:pPr>
        <w:pStyle w:val="3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lang w:eastAsia="zh-CN"/>
        </w:rPr>
      </w:pPr>
      <w:r>
        <w:rPr>
          <w:rFonts w:hint="eastAsia" w:ascii="黑体" w:hAnsi="黑体" w:eastAsia="黑体" w:cs="黑体"/>
          <w:kern w:val="2"/>
          <w:lang w:eastAsia="zh-CN"/>
        </w:rPr>
        <w:t>一、自评工作开展情况</w:t>
      </w:r>
    </w:p>
    <w:p>
      <w:pPr>
        <w:pStyle w:val="3"/>
        <w:spacing w:line="500" w:lineRule="exact"/>
        <w:ind w:left="111" w:right="125" w:firstLine="639"/>
        <w:jc w:val="both"/>
        <w:rPr>
          <w:rFonts w:ascii="Times New Roman" w:hAnsi="Times New Roman" w:eastAsia="仿宋_GB2312" w:cs="仿宋_GB2312"/>
          <w:kern w:val="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lang w:eastAsia="zh-CN"/>
        </w:rPr>
        <w:t>我局自评项目两个分别是，农产品产销对接及发展经济费用（预算金额27.94万元）、兰州市金张掖农特产品直销店补助资金（预算金额10万元），共计项目金额37.94万元，全部按时足额拨付到位。</w:t>
      </w:r>
    </w:p>
    <w:p>
      <w:pPr>
        <w:pStyle w:val="3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lang w:eastAsia="zh-CN"/>
        </w:rPr>
      </w:pPr>
      <w:r>
        <w:rPr>
          <w:rFonts w:hint="eastAsia" w:ascii="黑体" w:hAnsi="黑体" w:eastAsia="黑体" w:cs="黑体"/>
          <w:kern w:val="2"/>
          <w:lang w:eastAsia="zh-CN"/>
        </w:rPr>
        <w:t>二、自评结果概述</w:t>
      </w:r>
    </w:p>
    <w:p>
      <w:pPr>
        <w:pStyle w:val="3"/>
        <w:spacing w:line="50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lang w:eastAsia="zh-CN"/>
        </w:rPr>
        <w:t>项目支出严格按相关规定处理，手续完备，及时收集有关资料并归档，确保项目实施规范化，金张掖农特产品兰州店通过线上、线下销售张掖市优质农特产品，其中甘州区产品销售额为268.51万元，提高了农特产品的知名度。农产品产销对接及发展经济费用，开展了“迎新春.逛老街.促消费.惠民生”年货节活动。利用主播团队对张掖农特产品进行线上线下销售等工作，提高了我区农特产品知名度，增加了农特产品销售额。</w:t>
      </w:r>
    </w:p>
    <w:p>
      <w:pPr>
        <w:pStyle w:val="3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lang w:eastAsia="zh-CN"/>
        </w:rPr>
      </w:pPr>
      <w:r>
        <w:rPr>
          <w:rFonts w:hint="eastAsia" w:ascii="黑体" w:hAnsi="黑体" w:eastAsia="黑体" w:cs="黑体"/>
          <w:kern w:val="2"/>
          <w:lang w:eastAsia="zh-CN"/>
        </w:rPr>
        <w:t>三、下一步工作措施</w:t>
      </w:r>
    </w:p>
    <w:p>
      <w:pPr>
        <w:pStyle w:val="3"/>
        <w:spacing w:line="500" w:lineRule="exact"/>
        <w:ind w:left="111" w:right="125" w:firstLine="639"/>
        <w:jc w:val="both"/>
        <w:rPr>
          <w:rFonts w:ascii="Times New Roman" w:hAnsi="Times New Roman" w:eastAsia="仿宋_GB2312" w:cs="仿宋_GB2312"/>
          <w:kern w:val="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lang w:eastAsia="zh-CN"/>
        </w:rPr>
        <w:t>1.认真做好年度预算工作和各项项目经费分析。</w:t>
      </w:r>
    </w:p>
    <w:p>
      <w:pPr>
        <w:pStyle w:val="3"/>
        <w:spacing w:line="50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lang w:eastAsia="zh-CN"/>
        </w:rPr>
        <w:t>2.提高各项项目经费的支出和项目经费的应用，拓宽线上线下经营渠道，加速农特产品的营销。</w:t>
      </w:r>
    </w:p>
    <w:p>
      <w:pPr>
        <w:pStyle w:val="3"/>
        <w:spacing w:line="500" w:lineRule="exact"/>
        <w:rPr>
          <w:rFonts w:cs="Times New Roman"/>
          <w:lang w:eastAsia="zh-CN"/>
        </w:rPr>
      </w:pPr>
    </w:p>
    <w:p>
      <w:pPr>
        <w:pStyle w:val="3"/>
        <w:spacing w:line="50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lang w:eastAsia="zh-CN"/>
        </w:rPr>
        <w:t>附表：</w:t>
      </w:r>
      <w:r>
        <w:rPr>
          <w:rFonts w:ascii="Times New Roman" w:hAnsi="Times New Roman" w:eastAsia="仿宋_GB2312" w:cs="Times New Roman"/>
          <w:kern w:val="2"/>
          <w:lang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lang w:eastAsia="zh-CN"/>
        </w:rPr>
        <w:t>22</w:t>
      </w:r>
      <w:r>
        <w:rPr>
          <w:rFonts w:hint="eastAsia" w:ascii="Times New Roman" w:hAnsi="Times New Roman" w:eastAsia="仿宋_GB2312" w:cs="仿宋_GB2312"/>
          <w:kern w:val="2"/>
          <w:lang w:eastAsia="zh-CN"/>
        </w:rPr>
        <w:t>年度项目支出绩效自评情况汇总表</w:t>
      </w:r>
    </w:p>
    <w:p>
      <w:pPr>
        <w:pStyle w:val="3"/>
        <w:spacing w:line="68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lang w:eastAsia="zh-CN"/>
        </w:rPr>
        <w:sectPr>
          <w:footerReference r:id="rId3" w:type="default"/>
          <w:pgSz w:w="11910" w:h="16840"/>
          <w:pgMar w:top="1600" w:right="1140" w:bottom="1320" w:left="1420" w:header="0" w:footer="1134" w:gutter="0"/>
          <w:cols w:space="720" w:num="1"/>
        </w:sectPr>
      </w:pPr>
    </w:p>
    <w:p>
      <w:pPr>
        <w:pStyle w:val="3"/>
        <w:rPr>
          <w:rFonts w:cs="Times New Roman"/>
          <w:sz w:val="16"/>
          <w:szCs w:val="16"/>
          <w:lang w:eastAsia="zh-CN"/>
        </w:rPr>
      </w:pPr>
    </w:p>
    <w:p>
      <w:pPr>
        <w:pStyle w:val="2"/>
        <w:spacing w:before="34"/>
        <w:ind w:left="0"/>
        <w:jc w:val="center"/>
        <w:rPr>
          <w:rFonts w:ascii="宋体" w:hAnsi="宋体" w:eastAsia="宋体" w:cs="Times New Roman"/>
          <w:b/>
          <w:bCs/>
          <w:kern w:val="2"/>
          <w:lang w:eastAsia="zh-CN"/>
        </w:rPr>
      </w:pPr>
      <w:r>
        <w:rPr>
          <w:rFonts w:ascii="宋体" w:hAnsi="宋体" w:eastAsia="宋体" w:cs="宋体"/>
          <w:b/>
          <w:bCs/>
          <w:kern w:val="2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kern w:val="2"/>
          <w:lang w:eastAsia="zh-CN"/>
        </w:rPr>
        <w:t>22年度部门项目支出绩效自评情况汇总表</w:t>
      </w:r>
    </w:p>
    <w:p>
      <w:pPr>
        <w:pStyle w:val="2"/>
        <w:spacing w:before="34"/>
        <w:ind w:left="0"/>
        <w:jc w:val="center"/>
        <w:rPr>
          <w:rFonts w:ascii="宋体" w:hAnsi="宋体" w:eastAsia="宋体" w:cs="Times New Roman"/>
          <w:b/>
          <w:bCs/>
          <w:kern w:val="2"/>
          <w:lang w:eastAsia="zh-CN"/>
        </w:rPr>
      </w:pPr>
    </w:p>
    <w:p>
      <w:pPr>
        <w:spacing w:before="14"/>
        <w:ind w:left="685"/>
        <w:rPr>
          <w:rFonts w:cs="Times New Roman"/>
          <w:sz w:val="28"/>
          <w:szCs w:val="28"/>
        </w:rPr>
      </w:pPr>
      <w:r>
        <w:rPr>
          <w:rFonts w:hint="eastAsia" w:cs="宋体"/>
          <w:w w:val="99"/>
          <w:sz w:val="28"/>
          <w:szCs w:val="28"/>
        </w:rPr>
        <w:t>预算部门（盖章</w:t>
      </w:r>
      <w:r>
        <w:rPr>
          <w:rFonts w:hint="eastAsia" w:cs="宋体"/>
          <w:spacing w:val="-141"/>
          <w:w w:val="99"/>
          <w:sz w:val="28"/>
          <w:szCs w:val="28"/>
        </w:rPr>
        <w:t>）</w:t>
      </w:r>
      <w:r>
        <w:rPr>
          <w:rFonts w:hint="eastAsia" w:cs="宋体"/>
          <w:w w:val="99"/>
          <w:sz w:val="28"/>
          <w:szCs w:val="28"/>
        </w:rPr>
        <w:t>：</w:t>
      </w:r>
    </w:p>
    <w:p>
      <w:pPr>
        <w:pStyle w:val="3"/>
        <w:spacing w:before="3"/>
        <w:rPr>
          <w:rFonts w:cs="Times New Roman"/>
          <w:sz w:val="14"/>
          <w:szCs w:val="14"/>
          <w:lang w:eastAsia="zh-CN"/>
        </w:rPr>
      </w:pPr>
    </w:p>
    <w:p>
      <w:pPr>
        <w:pStyle w:val="3"/>
        <w:spacing w:before="10"/>
        <w:rPr>
          <w:rFonts w:ascii="黑体" w:cs="Times New Roman"/>
          <w:sz w:val="11"/>
          <w:szCs w:val="11"/>
          <w:lang w:eastAsia="zh-CN"/>
        </w:rPr>
      </w:pPr>
    </w:p>
    <w:tbl>
      <w:tblPr>
        <w:tblStyle w:val="7"/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5850"/>
        <w:gridCol w:w="3016"/>
        <w:gridCol w:w="868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exact"/>
        </w:trPr>
        <w:tc>
          <w:tcPr>
            <w:tcW w:w="1776" w:type="dxa"/>
          </w:tcPr>
          <w:p>
            <w:pPr>
              <w:pStyle w:val="15"/>
              <w:rPr>
                <w:rFonts w:ascii="黑体" w:cs="Times New Roman"/>
                <w:sz w:val="24"/>
                <w:szCs w:val="24"/>
                <w:lang w:eastAsia="zh-CN"/>
              </w:rPr>
            </w:pPr>
          </w:p>
          <w:p>
            <w:pPr>
              <w:pStyle w:val="15"/>
              <w:spacing w:before="10"/>
              <w:rPr>
                <w:rFonts w:ascii="黑体" w:cs="Times New Roman"/>
                <w:sz w:val="29"/>
                <w:szCs w:val="29"/>
                <w:lang w:eastAsia="zh-CN"/>
              </w:rPr>
            </w:pPr>
          </w:p>
          <w:p>
            <w:pPr>
              <w:pStyle w:val="15"/>
              <w:ind w:left="623" w:right="623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850" w:type="dxa"/>
          </w:tcPr>
          <w:p>
            <w:pPr>
              <w:pStyle w:val="15"/>
              <w:rPr>
                <w:rFonts w:ascii="黑体" w:cs="Times New Roman"/>
                <w:sz w:val="24"/>
                <w:szCs w:val="24"/>
              </w:rPr>
            </w:pPr>
          </w:p>
          <w:p>
            <w:pPr>
              <w:pStyle w:val="15"/>
              <w:spacing w:before="10"/>
              <w:rPr>
                <w:rFonts w:ascii="黑体" w:cs="Times New Roman"/>
                <w:sz w:val="29"/>
                <w:szCs w:val="29"/>
              </w:rPr>
            </w:pPr>
          </w:p>
          <w:p>
            <w:pPr>
              <w:pStyle w:val="15"/>
              <w:ind w:left="2420" w:right="2419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3016" w:type="dxa"/>
          </w:tcPr>
          <w:p>
            <w:pPr>
              <w:pStyle w:val="15"/>
              <w:rPr>
                <w:rFonts w:ascii="黑体" w:cs="Times New Roman"/>
                <w:sz w:val="24"/>
                <w:szCs w:val="24"/>
              </w:rPr>
            </w:pPr>
          </w:p>
          <w:p>
            <w:pPr>
              <w:pStyle w:val="15"/>
              <w:spacing w:before="10"/>
              <w:rPr>
                <w:rFonts w:ascii="黑体" w:cs="Times New Roman"/>
                <w:sz w:val="29"/>
                <w:szCs w:val="29"/>
              </w:rPr>
            </w:pPr>
          </w:p>
          <w:p>
            <w:pPr>
              <w:pStyle w:val="15"/>
              <w:ind w:left="783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资金使用单位</w:t>
            </w:r>
          </w:p>
        </w:tc>
        <w:tc>
          <w:tcPr>
            <w:tcW w:w="868" w:type="dxa"/>
          </w:tcPr>
          <w:p>
            <w:pPr>
              <w:pStyle w:val="15"/>
              <w:rPr>
                <w:rFonts w:ascii="黑体" w:cs="Times New Roman"/>
                <w:sz w:val="24"/>
                <w:szCs w:val="24"/>
              </w:rPr>
            </w:pPr>
          </w:p>
          <w:p>
            <w:pPr>
              <w:pStyle w:val="15"/>
              <w:spacing w:before="5"/>
              <w:rPr>
                <w:rFonts w:ascii="黑体" w:cs="Times New Roman"/>
                <w:sz w:val="20"/>
                <w:szCs w:val="20"/>
              </w:rPr>
            </w:pPr>
          </w:p>
          <w:p>
            <w:pPr>
              <w:pStyle w:val="15"/>
              <w:spacing w:line="310" w:lineRule="exact"/>
              <w:ind w:left="189" w:right="169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060" w:type="dxa"/>
          </w:tcPr>
          <w:p>
            <w:pPr>
              <w:pStyle w:val="15"/>
              <w:rPr>
                <w:rFonts w:ascii="黑体" w:cs="Times New Roman"/>
                <w:sz w:val="24"/>
                <w:szCs w:val="24"/>
              </w:rPr>
            </w:pPr>
          </w:p>
          <w:p>
            <w:pPr>
              <w:pStyle w:val="15"/>
              <w:spacing w:before="5"/>
              <w:rPr>
                <w:rFonts w:ascii="黑体" w:cs="Times New Roman"/>
                <w:sz w:val="20"/>
                <w:szCs w:val="20"/>
              </w:rPr>
            </w:pPr>
          </w:p>
          <w:p>
            <w:pPr>
              <w:pStyle w:val="15"/>
              <w:spacing w:line="310" w:lineRule="exact"/>
              <w:ind w:left="284" w:right="266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自评等级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2569" w:type="dxa"/>
            <w:gridSpan w:val="5"/>
          </w:tcPr>
          <w:p>
            <w:pPr>
              <w:pStyle w:val="15"/>
              <w:spacing w:before="1"/>
              <w:ind w:left="10"/>
              <w:rPr>
                <w:rFonts w:ascii="Microsoft JhengHei" w:eastAsia="Microsoft JhengHei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Microsoft JhengHei" w:eastAsia="Microsoft JhengHei" w:cs="Microsoft JhengHei"/>
                <w:b/>
                <w:bCs/>
                <w:sz w:val="24"/>
                <w:szCs w:val="24"/>
                <w:lang w:eastAsia="zh-CN"/>
              </w:rPr>
              <w:t>一、部门预算项目绩效自评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776" w:type="dxa"/>
          </w:tcPr>
          <w:p>
            <w:pPr>
              <w:pStyle w:val="15"/>
              <w:spacing w:befor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农品特产品产销对接及发展经济费用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商务局</w:t>
            </w: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  <w:r>
              <w:rPr>
                <w:rFonts w:hint="eastAsia" w:cs="Times New Roman"/>
              </w:rPr>
              <w:t>0</w:t>
            </w: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776" w:type="dxa"/>
          </w:tcPr>
          <w:p>
            <w:pPr>
              <w:pStyle w:val="15"/>
              <w:spacing w:befor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兰州市金张掖农特产品直销店补助资金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商务局</w:t>
            </w: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100</w:t>
            </w: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776" w:type="dxa"/>
          </w:tcPr>
          <w:p>
            <w:pPr>
              <w:pStyle w:val="15"/>
              <w:spacing w:before="4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569" w:type="dxa"/>
            <w:gridSpan w:val="5"/>
          </w:tcPr>
          <w:p>
            <w:pPr>
              <w:pStyle w:val="15"/>
              <w:spacing w:before="14"/>
              <w:ind w:left="10"/>
              <w:rPr>
                <w:rFonts w:ascii="Microsoft JhengHei" w:eastAsia="Microsoft JhengHei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776" w:type="dxa"/>
          </w:tcPr>
          <w:p>
            <w:pPr>
              <w:pStyle w:val="15"/>
              <w:spacing w:befor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776" w:type="dxa"/>
          </w:tcPr>
          <w:p>
            <w:pPr>
              <w:pStyle w:val="15"/>
              <w:spacing w:befor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776" w:type="dxa"/>
          </w:tcPr>
          <w:p>
            <w:pPr>
              <w:pStyle w:val="15"/>
              <w:spacing w:before="5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5850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01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060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  <w:sectPr>
          <w:pgSz w:w="16840" w:h="11910" w:orient="landscape"/>
          <w:pgMar w:top="1100" w:right="2140" w:bottom="280" w:left="1340" w:header="0" w:footer="0" w:gutter="0"/>
          <w:cols w:space="720" w:num="1"/>
        </w:sectPr>
      </w:pPr>
    </w:p>
    <w:p>
      <w:pPr>
        <w:pStyle w:val="2"/>
        <w:spacing w:before="0" w:line="400" w:lineRule="exact"/>
        <w:ind w:left="0" w:right="161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pStyle w:val="2"/>
        <w:spacing w:before="0" w:line="400" w:lineRule="exact"/>
        <w:ind w:left="0" w:right="161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pStyle w:val="2"/>
        <w:spacing w:before="0" w:line="400" w:lineRule="exact"/>
        <w:ind w:left="0" w:right="161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甘州区商务局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22年度项目绩效自评报告</w:t>
      </w:r>
    </w:p>
    <w:p>
      <w:pPr>
        <w:pStyle w:val="3"/>
        <w:spacing w:line="400" w:lineRule="exact"/>
        <w:ind w:left="111" w:right="125" w:firstLine="639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</w:p>
    <w:p>
      <w:pPr>
        <w:pStyle w:val="3"/>
        <w:spacing w:line="560" w:lineRule="exact"/>
        <w:ind w:right="125" w:firstLine="640" w:firstLineChars="200"/>
        <w:jc w:val="both"/>
        <w:rPr>
          <w:rFonts w:ascii="黑体" w:hAnsi="黑体" w:eastAsia="黑体" w:cs="Times New Roman"/>
          <w:kern w:val="2"/>
          <w:lang w:eastAsia="zh-CN"/>
        </w:rPr>
      </w:pPr>
      <w:r>
        <w:rPr>
          <w:rFonts w:hint="eastAsia" w:ascii="黑体" w:hAnsi="黑体" w:eastAsia="黑体" w:cs="黑体"/>
          <w:kern w:val="2"/>
          <w:lang w:eastAsia="zh-CN"/>
        </w:rPr>
        <w:t>一、绩效目标分解下达情况</w:t>
      </w:r>
    </w:p>
    <w:p>
      <w:pPr>
        <w:pStyle w:val="3"/>
        <w:spacing w:line="560" w:lineRule="exact"/>
        <w:ind w:left="111" w:right="125" w:firstLine="639"/>
        <w:jc w:val="both"/>
        <w:rPr>
          <w:rFonts w:ascii="仿宋_GB2312" w:hAnsi="Times New Roman" w:eastAsia="仿宋_GB2312" w:cs="Times New Roman"/>
          <w:kern w:val="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lang w:eastAsia="zh-CN"/>
        </w:rPr>
        <w:t>我局年初预算下达</w:t>
      </w:r>
      <w:r>
        <w:rPr>
          <w:rFonts w:hint="eastAsia" w:ascii="Times New Roman" w:hAnsi="Times New Roman" w:eastAsia="仿宋_GB2312" w:cs="仿宋_GB2312"/>
          <w:lang w:eastAsia="zh-CN"/>
        </w:rPr>
        <w:t>农品特产品产销对接及发展经济费用</w:t>
      </w:r>
      <w:r>
        <w:rPr>
          <w:rFonts w:hint="eastAsia" w:ascii="Times New Roman" w:hAnsi="Times New Roman" w:eastAsia="仿宋_GB2312" w:cs="仿宋_GB2312"/>
          <w:kern w:val="2"/>
          <w:lang w:eastAsia="zh-CN"/>
        </w:rPr>
        <w:t>、兰州市金张掖农特产品直销店补助资金两项项目资金共计37.94万元</w:t>
      </w:r>
      <w:r>
        <w:rPr>
          <w:rFonts w:ascii="仿宋_GB2312" w:hAnsi="Times New Roman" w:eastAsia="仿宋_GB2312" w:cs="仿宋_GB2312"/>
          <w:kern w:val="2"/>
          <w:lang w:eastAsia="zh-CN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lang w:eastAsia="zh-CN"/>
        </w:rPr>
        <w:t>目前已全部支付完成。</w:t>
      </w:r>
    </w:p>
    <w:p>
      <w:pPr>
        <w:spacing w:line="560" w:lineRule="exact"/>
        <w:ind w:left="711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二、绩效目标完成情况分析</w:t>
      </w:r>
    </w:p>
    <w:p>
      <w:pPr>
        <w:spacing w:line="560" w:lineRule="exact"/>
        <w:ind w:left="711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农品特产品产销对接及发展经济费用、兰州市金张掖农特产品直销店补助资金</w:t>
      </w:r>
      <w:r>
        <w:rPr>
          <w:rFonts w:hint="eastAsia" w:ascii="仿宋_GB2312" w:hAnsi="楷体" w:eastAsia="仿宋_GB2312" w:cs="仿宋_GB2312"/>
          <w:sz w:val="32"/>
          <w:szCs w:val="32"/>
        </w:rPr>
        <w:t>投入情况分析。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两项项目资金已全部划拨到位。</w:t>
      </w:r>
    </w:p>
    <w:p>
      <w:pPr>
        <w:spacing w:line="560" w:lineRule="exact"/>
        <w:ind w:left="711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项目资金执行情况分析。</w:t>
      </w:r>
    </w:p>
    <w:p>
      <w:pPr>
        <w:spacing w:line="560" w:lineRule="exact"/>
        <w:ind w:left="71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金张掖农特产品直销店在兰州市建设金张掖农特产品直营店，主要是打造金张掖农特产品在省会城市的集中宣传展示展销窗口，全面宣传营销张掖特色优质产品，突出农特产品生产地域、品质优势，打造绿色有机品牌产品。</w:t>
      </w:r>
      <w:bookmarkStart w:id="0" w:name="_GoBack"/>
      <w:bookmarkEnd w:id="0"/>
    </w:p>
    <w:p>
      <w:pPr>
        <w:spacing w:line="560" w:lineRule="exact"/>
        <w:ind w:left="71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（2）农品特产品产销对接及发展经济费用，在张掖老街举行了“迎新春.逛老街.促消费.惠民生”年货节活动，完成了会场搭建工作，借助直播团队进行直播带货、品牌提升、等工作，提高了我区农产品知名度。</w:t>
      </w:r>
    </w:p>
    <w:p>
      <w:pPr>
        <w:spacing w:line="560" w:lineRule="exact"/>
        <w:ind w:left="711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（二）总体绩效目标完成情况分析。</w:t>
      </w:r>
    </w:p>
    <w:p>
      <w:pPr>
        <w:spacing w:line="560" w:lineRule="exact"/>
        <w:ind w:left="711" w:firstLine="640" w:firstLineChars="200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门店在升级改造后的情况下，销售额明显上升，显然达到了升级调整的目的。金张掖名优农特产直营店，自开业至今，已形成重点推广张掖农特产品为品牌定位，产品覆盖张掖各区域县多种优质农特产品。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绩效目标完成情况分析。</w:t>
      </w:r>
    </w:p>
    <w:p>
      <w:pPr>
        <w:spacing w:line="560" w:lineRule="exact"/>
        <w:ind w:firstLine="640" w:firstLineChars="200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一、兰州市金张掖农特产品直销店补助资金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产出指标完成情况分析。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）数量指标，2022年金张掖兰州店销售甘州区企业农产品额增长35%。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）质量指标，销售张掖农特产品质量符合标准。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）时效指标，线上线下销售农特产品及时。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）成本指标，内部财务管理制度、会计核算制度健全。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效益指标完成情况分析。</w:t>
      </w:r>
    </w:p>
    <w:p>
      <w:pPr>
        <w:spacing w:line="560" w:lineRule="exact"/>
        <w:ind w:left="77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）经济效益，增加农特产品的销售额度。</w:t>
      </w:r>
    </w:p>
    <w:p>
      <w:pPr>
        <w:spacing w:line="560" w:lineRule="exact"/>
        <w:ind w:left="77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）社会效益，提升张掖市甘州区农特产品品牌。</w:t>
      </w:r>
    </w:p>
    <w:p>
      <w:pPr>
        <w:spacing w:line="560" w:lineRule="exact"/>
        <w:ind w:left="77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可持续影响，金张掖名优农特产品兰州直营店升级以中高端农特品牌定位，在终端店面上与其他竞品店有一定的区别，从整体设计，产品展示全方位多个角度诠释品牌内涵，表达品牌定位，形成旗舰店模式，更有利于展示终端营销，提升销量。</w:t>
      </w:r>
    </w:p>
    <w:p>
      <w:pPr>
        <w:spacing w:line="560" w:lineRule="exact"/>
        <w:ind w:left="771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用户满意度达98%。</w:t>
      </w:r>
    </w:p>
    <w:p>
      <w:pPr>
        <w:spacing w:line="560" w:lineRule="exact"/>
        <w:ind w:left="77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hAnsi="仿宋" w:eastAsia="仿宋_GB2312" w:cs="仿宋_GB2312"/>
          <w:sz w:val="32"/>
          <w:szCs w:val="32"/>
        </w:rPr>
        <w:t>农品特产品产销对接及发展经济费用</w:t>
      </w:r>
    </w:p>
    <w:p>
      <w:pPr>
        <w:spacing w:line="560" w:lineRule="exact"/>
        <w:ind w:left="77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产出指标完成情况分析</w:t>
      </w:r>
    </w:p>
    <w:p>
      <w:pPr>
        <w:spacing w:line="560" w:lineRule="exact"/>
        <w:ind w:left="71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）数量指标，完成张掖老街“迎新春.逛老街.促消费.惠民生”年货节会场的搭建。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）质量指标，销售张掖农特产品质量，符合标准。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）时效指标，日常或节日线上线下宣传销售农特产品。</w:t>
      </w:r>
    </w:p>
    <w:p>
      <w:pPr>
        <w:spacing w:line="560" w:lineRule="exact"/>
        <w:ind w:left="711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效益指标完成情况分析。</w:t>
      </w:r>
    </w:p>
    <w:p>
      <w:pPr>
        <w:spacing w:line="560" w:lineRule="exact"/>
        <w:ind w:left="771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）经济效益，增加农特产品的销售额度。</w:t>
      </w:r>
    </w:p>
    <w:p>
      <w:pPr>
        <w:spacing w:line="560" w:lineRule="exact"/>
        <w:ind w:left="77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）社会效益，提升张掖市甘州区农特产品品牌知名度。</w:t>
      </w:r>
    </w:p>
    <w:p>
      <w:pPr>
        <w:spacing w:line="560" w:lineRule="exact"/>
        <w:ind w:left="771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（3）可持续影响，提升销量。</w:t>
      </w:r>
    </w:p>
    <w:p>
      <w:pPr>
        <w:spacing w:line="560" w:lineRule="exact"/>
        <w:ind w:left="771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用户满意度达96%。</w:t>
      </w:r>
    </w:p>
    <w:p>
      <w:pPr>
        <w:spacing w:line="560" w:lineRule="exact"/>
        <w:ind w:left="711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三、偏离绩效目标的原因和下一步改进措施</w:t>
      </w:r>
    </w:p>
    <w:p>
      <w:pPr>
        <w:spacing w:line="560" w:lineRule="exact"/>
        <w:ind w:left="171" w:firstLine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下一步改进措施</w:t>
      </w:r>
    </w:p>
    <w:p>
      <w:pPr>
        <w:numPr>
          <w:ilvl w:val="0"/>
          <w:numId w:val="2"/>
        </w:numPr>
        <w:spacing w:line="560" w:lineRule="exact"/>
        <w:ind w:left="171" w:firstLine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通过品鉴，介绍、对比、工艺描述以及导购专业的讲解，让消费者对产品更加清晰的了解，从而提升购买率。</w:t>
      </w:r>
    </w:p>
    <w:p>
      <w:pPr>
        <w:numPr>
          <w:ilvl w:val="0"/>
          <w:numId w:val="2"/>
        </w:numPr>
        <w:spacing w:line="560" w:lineRule="exact"/>
        <w:ind w:left="171" w:firstLine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通过新思维、新策略、新创意、新营销，用突破性的想法在新时代创造新品牌，做优品质、细分市场、精准定位。</w:t>
      </w:r>
    </w:p>
    <w:p>
      <w:pPr>
        <w:numPr>
          <w:ilvl w:val="0"/>
          <w:numId w:val="2"/>
        </w:numPr>
        <w:spacing w:line="560" w:lineRule="exact"/>
        <w:ind w:left="171" w:firstLine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利用好互联网时代，数字化转型、多元化的传播、短视频、带货直播、粉丝经济，社群营销等为金张掖农特产品发展提供更多的新发展机遇。</w:t>
      </w:r>
    </w:p>
    <w:p>
      <w:pPr>
        <w:numPr>
          <w:ilvl w:val="0"/>
          <w:numId w:val="3"/>
        </w:numPr>
        <w:spacing w:line="560" w:lineRule="exact"/>
        <w:ind w:left="711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绩效自评结果拟应用和公开情况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各项指标和项目经费开支情况及时公开。</w:t>
      </w:r>
    </w:p>
    <w:p>
      <w:pPr>
        <w:spacing w:line="560" w:lineRule="exact"/>
        <w:ind w:left="711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五、其他需要说明的问题</w:t>
      </w:r>
    </w:p>
    <w:p>
      <w:pPr>
        <w:spacing w:line="560" w:lineRule="exact"/>
        <w:ind w:left="171"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无审计和财政监督中发现的问题、所涉及的金额。</w:t>
      </w:r>
    </w:p>
    <w:p>
      <w:pPr>
        <w:spacing w:line="560" w:lineRule="exact"/>
        <w:ind w:left="171" w:firstLine="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left="171" w:firstLine="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left="171" w:firstLine="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甘州区商务局</w:t>
      </w:r>
    </w:p>
    <w:p>
      <w:pPr>
        <w:spacing w:line="440" w:lineRule="exact"/>
        <w:ind w:left="170" w:leftChars="81" w:firstLine="5440" w:firstLineChars="1700"/>
        <w:rPr>
          <w:rFonts w:ascii="黑体" w:eastAsia="仿宋_GB2312" w:cs="Times New Roman"/>
          <w:sz w:val="32"/>
          <w:szCs w:val="32"/>
        </w:rPr>
      </w:pPr>
      <w:r>
        <w:rPr>
          <w:rFonts w:hint="eastAsia" w:ascii="黑体" w:eastAsia="仿宋_GB2312" w:cs="Times New Roman"/>
          <w:sz w:val="32"/>
          <w:szCs w:val="32"/>
        </w:rPr>
        <w:t>2023年1月13日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cs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7A012"/>
    <w:multiLevelType w:val="singleLevel"/>
    <w:tmpl w:val="FE87A01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FAF26D"/>
    <w:multiLevelType w:val="singleLevel"/>
    <w:tmpl w:val="32FAF2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FA11BA"/>
    <w:multiLevelType w:val="singleLevel"/>
    <w:tmpl w:val="41FA11B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2IyNWZjMDg3YmI1NWEyMDdhOTU4ODY0ZDY2YTEifQ=="/>
  </w:docVars>
  <w:rsids>
    <w:rsidRoot w:val="00D64B26"/>
    <w:rsid w:val="00001465"/>
    <w:rsid w:val="00017BBB"/>
    <w:rsid w:val="0002247F"/>
    <w:rsid w:val="000365C7"/>
    <w:rsid w:val="00045526"/>
    <w:rsid w:val="00055CAE"/>
    <w:rsid w:val="0006746F"/>
    <w:rsid w:val="00090B48"/>
    <w:rsid w:val="000C118B"/>
    <w:rsid w:val="000F1DCB"/>
    <w:rsid w:val="001179E1"/>
    <w:rsid w:val="0013496D"/>
    <w:rsid w:val="00151551"/>
    <w:rsid w:val="001553EB"/>
    <w:rsid w:val="00192430"/>
    <w:rsid w:val="00210313"/>
    <w:rsid w:val="0021716F"/>
    <w:rsid w:val="00234951"/>
    <w:rsid w:val="002375D4"/>
    <w:rsid w:val="00247E26"/>
    <w:rsid w:val="0026457D"/>
    <w:rsid w:val="00276058"/>
    <w:rsid w:val="00277F51"/>
    <w:rsid w:val="002B28BE"/>
    <w:rsid w:val="002B34FA"/>
    <w:rsid w:val="002B45E6"/>
    <w:rsid w:val="002B5D02"/>
    <w:rsid w:val="002D32A4"/>
    <w:rsid w:val="003206BC"/>
    <w:rsid w:val="00344420"/>
    <w:rsid w:val="003925B7"/>
    <w:rsid w:val="003A6C99"/>
    <w:rsid w:val="003E1031"/>
    <w:rsid w:val="003E6C2B"/>
    <w:rsid w:val="00417A00"/>
    <w:rsid w:val="00432F5F"/>
    <w:rsid w:val="00447258"/>
    <w:rsid w:val="00454497"/>
    <w:rsid w:val="0049568D"/>
    <w:rsid w:val="004B266A"/>
    <w:rsid w:val="004F4EAC"/>
    <w:rsid w:val="004F5F9A"/>
    <w:rsid w:val="005428C8"/>
    <w:rsid w:val="0054625E"/>
    <w:rsid w:val="0055007E"/>
    <w:rsid w:val="005503F3"/>
    <w:rsid w:val="005553C7"/>
    <w:rsid w:val="00562A9B"/>
    <w:rsid w:val="00562B2F"/>
    <w:rsid w:val="005962B5"/>
    <w:rsid w:val="00613C03"/>
    <w:rsid w:val="006559DD"/>
    <w:rsid w:val="006E21A4"/>
    <w:rsid w:val="00705E8F"/>
    <w:rsid w:val="00716F9B"/>
    <w:rsid w:val="00730761"/>
    <w:rsid w:val="00731CAF"/>
    <w:rsid w:val="00756A0B"/>
    <w:rsid w:val="007627AD"/>
    <w:rsid w:val="007706C9"/>
    <w:rsid w:val="007D4725"/>
    <w:rsid w:val="007D6738"/>
    <w:rsid w:val="007E2B67"/>
    <w:rsid w:val="007E4054"/>
    <w:rsid w:val="007F103F"/>
    <w:rsid w:val="008437E1"/>
    <w:rsid w:val="00881B57"/>
    <w:rsid w:val="008D0F11"/>
    <w:rsid w:val="008D5034"/>
    <w:rsid w:val="008D67D3"/>
    <w:rsid w:val="008D701B"/>
    <w:rsid w:val="0092477E"/>
    <w:rsid w:val="00932C02"/>
    <w:rsid w:val="009401C5"/>
    <w:rsid w:val="00947051"/>
    <w:rsid w:val="00963A3B"/>
    <w:rsid w:val="0097508A"/>
    <w:rsid w:val="009837DB"/>
    <w:rsid w:val="009C6868"/>
    <w:rsid w:val="009E21C0"/>
    <w:rsid w:val="00A01455"/>
    <w:rsid w:val="00A01B36"/>
    <w:rsid w:val="00A12AD2"/>
    <w:rsid w:val="00A15EDD"/>
    <w:rsid w:val="00A306F1"/>
    <w:rsid w:val="00A3452C"/>
    <w:rsid w:val="00A41CAD"/>
    <w:rsid w:val="00A447EB"/>
    <w:rsid w:val="00A601FB"/>
    <w:rsid w:val="00A8626C"/>
    <w:rsid w:val="00AF7C17"/>
    <w:rsid w:val="00B22F21"/>
    <w:rsid w:val="00B42010"/>
    <w:rsid w:val="00B4703B"/>
    <w:rsid w:val="00B63C72"/>
    <w:rsid w:val="00B6590C"/>
    <w:rsid w:val="00B95D17"/>
    <w:rsid w:val="00BC554B"/>
    <w:rsid w:val="00BF6118"/>
    <w:rsid w:val="00C014C0"/>
    <w:rsid w:val="00C314B0"/>
    <w:rsid w:val="00C773D1"/>
    <w:rsid w:val="00C976CB"/>
    <w:rsid w:val="00CA0D20"/>
    <w:rsid w:val="00CA5804"/>
    <w:rsid w:val="00CB2A2A"/>
    <w:rsid w:val="00D103CD"/>
    <w:rsid w:val="00D15514"/>
    <w:rsid w:val="00D27461"/>
    <w:rsid w:val="00D27623"/>
    <w:rsid w:val="00D64B26"/>
    <w:rsid w:val="00D81894"/>
    <w:rsid w:val="00D97AD0"/>
    <w:rsid w:val="00DB1943"/>
    <w:rsid w:val="00DB2585"/>
    <w:rsid w:val="00DC7746"/>
    <w:rsid w:val="00DD697C"/>
    <w:rsid w:val="00E47AAF"/>
    <w:rsid w:val="00E563C2"/>
    <w:rsid w:val="00E60895"/>
    <w:rsid w:val="00E72A89"/>
    <w:rsid w:val="00E84299"/>
    <w:rsid w:val="00E84625"/>
    <w:rsid w:val="00E84C1D"/>
    <w:rsid w:val="00E93CC5"/>
    <w:rsid w:val="00E97370"/>
    <w:rsid w:val="00EC4D05"/>
    <w:rsid w:val="00F043BD"/>
    <w:rsid w:val="00F342D0"/>
    <w:rsid w:val="00F43510"/>
    <w:rsid w:val="00F858DF"/>
    <w:rsid w:val="00FA1B65"/>
    <w:rsid w:val="00FB615C"/>
    <w:rsid w:val="00FC6A5C"/>
    <w:rsid w:val="00FE43DD"/>
    <w:rsid w:val="15B7398E"/>
    <w:rsid w:val="1D281496"/>
    <w:rsid w:val="283E73EA"/>
    <w:rsid w:val="2A49502A"/>
    <w:rsid w:val="2DB24498"/>
    <w:rsid w:val="2E4624F6"/>
    <w:rsid w:val="34A746DB"/>
    <w:rsid w:val="34EB2BCF"/>
    <w:rsid w:val="471A699B"/>
    <w:rsid w:val="4EC16211"/>
    <w:rsid w:val="519757F9"/>
    <w:rsid w:val="53E45192"/>
    <w:rsid w:val="5D8B26E9"/>
    <w:rsid w:val="5D9F7298"/>
    <w:rsid w:val="61C56947"/>
    <w:rsid w:val="67645495"/>
    <w:rsid w:val="6C9C47DB"/>
    <w:rsid w:val="73BA527A"/>
    <w:rsid w:val="75F63D0B"/>
    <w:rsid w:val="76F854DD"/>
    <w:rsid w:val="77FF6A5C"/>
    <w:rsid w:val="7FF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标题 1 Char"/>
    <w:basedOn w:val="8"/>
    <w:link w:val="2"/>
    <w:qFormat/>
    <w:locked/>
    <w:uiPriority w:val="99"/>
    <w:rPr>
      <w:rFonts w:ascii="PMingLiU" w:hAnsi="PMingLiU" w:eastAsia="PMingLiU" w:cs="PMingLiU"/>
      <w:kern w:val="0"/>
      <w:sz w:val="44"/>
      <w:szCs w:val="44"/>
      <w:lang w:eastAsia="en-US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5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295</Words>
  <Characters>1688</Characters>
  <Lines>14</Lines>
  <Paragraphs>3</Paragraphs>
  <TotalTime>56</TotalTime>
  <ScaleCrop>false</ScaleCrop>
  <LinksUpToDate>false</LinksUpToDate>
  <CharactersWithSpaces>1980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2023-01-20T00:46:00Z</dcterms:created>
  <dc:creator>PC</dc:creator>
  <cp:lastModifiedBy>蔷薇的毒愫</cp:lastModifiedBy>
  <cp:lastPrinted>2023-02-02T03:10:00Z</cp:lastPrinted>
  <dcterms:modified xsi:type="dcterms:W3CDTF">2023-11-22T08:25:59Z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9B4714D138E441C19E3CA468766BDA58_13</vt:lpwstr>
  </property>
</Properties>
</file>